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10656"/>
      </w:tblGrid>
      <w:tr w:rsidR="002B3815">
        <w:tc>
          <w:tcPr>
            <w:tcW w:w="0" w:type="auto"/>
          </w:tcPr>
          <w:p w:rsidR="002B3815" w:rsidRDefault="0099452B">
            <w:bookmarkStart w:id="0" w:name="_GoBack"/>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0002" o:spid="_x0000_s1027" type="#_x0000_t75" style="position:absolute;left:0;text-align:left;margin-left:0;margin-top:0;width:214.45pt;height:81.75pt;z-index:1;visibility:visible;mso-wrap-style:square;mso-wrap-distance-left:9pt;mso-wrap-distance-top:0;mso-wrap-distance-right:9pt;mso-wrap-distance-bottom:0;mso-position-horizontal:left;mso-position-horizontal-relative:text;mso-position-vertical:top;mso-position-vertical-relative:text">
                  <v:imagedata r:id="rId9" o:title=""/>
                  <w10:wrap type="topAndBottom"/>
                </v:shape>
              </w:pict>
            </w:r>
            <w:r>
              <w:rPr>
                <w:noProof/>
              </w:rPr>
              <w:pict>
                <v:shape id="Picture 100003" o:spid="_x0000_s1026" type="#_x0000_t75" style="position:absolute;left:0;text-align:left;margin-left:173.85pt;margin-top:0;width:225.05pt;height:75.75pt;z-index:2;visibility:visible;mso-wrap-style:square;mso-wrap-distance-left:9pt;mso-wrap-distance-top:0;mso-wrap-distance-right:9pt;mso-wrap-distance-bottom:0;mso-position-horizontal:right;mso-position-horizontal-relative:text;mso-position-vertical:top;mso-position-vertical-relative:text">
                  <v:imagedata r:id="rId10" o:title=""/>
                  <w10:wrap type="topAndBottom"/>
                </v:shape>
              </w:pict>
            </w:r>
          </w:p>
        </w:tc>
      </w:tr>
      <w:tr w:rsidR="002B3815">
        <w:tc>
          <w:tcPr>
            <w:tcW w:w="0" w:type="auto"/>
          </w:tcPr>
          <w:p w:rsidR="002B3815" w:rsidRDefault="0099452B">
            <w:pPr>
              <w:pStyle w:val="Title"/>
            </w:pPr>
            <w:r>
              <w:t>Годишен доклад за изпълнението</w:t>
            </w:r>
          </w:p>
          <w:p w:rsidR="002B3815" w:rsidRDefault="0099452B">
            <w:pPr>
              <w:pStyle w:val="Title"/>
            </w:pPr>
            <w:r>
              <w:t>Bulgaria - Rural Development Programme (National)</w:t>
            </w:r>
          </w:p>
          <w:p w:rsidR="002B3815" w:rsidRDefault="002B3815"/>
        </w:tc>
      </w:tr>
      <w:tr w:rsidR="002B3815">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5215"/>
            </w:tblGrid>
            <w:tr w:rsidR="002B3815">
              <w:tc>
                <w:tcPr>
                  <w:tcW w:w="0" w:type="auto"/>
                  <w:gridSpan w:val="2"/>
                  <w:shd w:val="clear" w:color="auto" w:fill="C0C0C0"/>
                </w:tcPr>
                <w:p w:rsidR="002B3815" w:rsidRDefault="0099452B">
                  <w:pPr>
                    <w:jc w:val="center"/>
                    <w:rPr>
                      <w:b/>
                    </w:rPr>
                  </w:pPr>
                  <w:r>
                    <w:rPr>
                      <w:b/>
                    </w:rPr>
                    <w:t>Годишен доклад за изпълнението</w:t>
                  </w:r>
                </w:p>
              </w:tc>
            </w:tr>
            <w:tr w:rsidR="002B3815">
              <w:tc>
                <w:tcPr>
                  <w:tcW w:w="0" w:type="auto"/>
                  <w:shd w:val="clear" w:color="auto" w:fill="FFFFFF"/>
                  <w:vAlign w:val="center"/>
                </w:tcPr>
                <w:p w:rsidR="002B3815" w:rsidRDefault="0099452B">
                  <w:pPr>
                    <w:pStyle w:val="Caption"/>
                    <w:spacing w:before="40" w:after="40"/>
                    <w:jc w:val="center"/>
                  </w:pPr>
                  <w:r>
                    <w:t>Период</w:t>
                  </w:r>
                </w:p>
              </w:tc>
              <w:tc>
                <w:tcPr>
                  <w:tcW w:w="0" w:type="auto"/>
                  <w:shd w:val="clear" w:color="auto" w:fill="FFFFFF"/>
                  <w:vAlign w:val="center"/>
                </w:tcPr>
                <w:p w:rsidR="002B3815" w:rsidRDefault="0099452B">
                  <w:pPr>
                    <w:spacing w:before="40" w:after="40"/>
                    <w:jc w:val="center"/>
                  </w:pPr>
                  <w:r>
                    <w:t>01/01/2018 - 31/12/2018</w:t>
                  </w:r>
                </w:p>
              </w:tc>
            </w:tr>
            <w:tr w:rsidR="002B3815">
              <w:tc>
                <w:tcPr>
                  <w:tcW w:w="2500" w:type="pct"/>
                  <w:shd w:val="clear" w:color="auto" w:fill="FFFFFF"/>
                  <w:vAlign w:val="center"/>
                </w:tcPr>
                <w:p w:rsidR="002B3815" w:rsidRDefault="0099452B">
                  <w:pPr>
                    <w:pStyle w:val="Caption"/>
                    <w:spacing w:before="40" w:after="40"/>
                    <w:jc w:val="center"/>
                  </w:pPr>
                  <w:r>
                    <w:t>Версия</w:t>
                  </w:r>
                </w:p>
              </w:tc>
              <w:tc>
                <w:tcPr>
                  <w:tcW w:w="2500" w:type="pct"/>
                  <w:shd w:val="clear" w:color="auto" w:fill="FFFFFF"/>
                  <w:vAlign w:val="center"/>
                </w:tcPr>
                <w:p w:rsidR="002B3815" w:rsidRDefault="0099452B">
                  <w:pPr>
                    <w:spacing w:before="40" w:after="40"/>
                    <w:jc w:val="center"/>
                  </w:pPr>
                  <w:r>
                    <w:t>2018.0</w:t>
                  </w:r>
                </w:p>
              </w:tc>
            </w:tr>
            <w:tr w:rsidR="002B3815">
              <w:tc>
                <w:tcPr>
                  <w:tcW w:w="2500" w:type="pct"/>
                  <w:shd w:val="clear" w:color="auto" w:fill="FFFFFF"/>
                  <w:vAlign w:val="center"/>
                </w:tcPr>
                <w:p w:rsidR="002B3815" w:rsidRDefault="0099452B">
                  <w:pPr>
                    <w:pStyle w:val="Caption"/>
                    <w:spacing w:before="40" w:after="40"/>
                    <w:jc w:val="center"/>
                  </w:pPr>
                  <w:r>
                    <w:t>Статус — настоящ възел</w:t>
                  </w:r>
                </w:p>
              </w:tc>
              <w:tc>
                <w:tcPr>
                  <w:tcW w:w="2500" w:type="pct"/>
                  <w:shd w:val="clear" w:color="auto" w:fill="FFFFFF"/>
                  <w:vAlign w:val="center"/>
                </w:tcPr>
                <w:p w:rsidR="002B3815" w:rsidRDefault="0099452B">
                  <w:pPr>
                    <w:spacing w:before="40" w:after="40"/>
                    <w:jc w:val="center"/>
                  </w:pPr>
                  <w:r>
                    <w:t>Готово за изпращане - Balgarija</w:t>
                  </w:r>
                </w:p>
              </w:tc>
            </w:tr>
            <w:tr w:rsidR="002B3815">
              <w:tc>
                <w:tcPr>
                  <w:tcW w:w="2500" w:type="pct"/>
                  <w:shd w:val="clear" w:color="auto" w:fill="FFFFFF"/>
                  <w:vAlign w:val="center"/>
                </w:tcPr>
                <w:p w:rsidR="002B3815" w:rsidRDefault="0099452B">
                  <w:pPr>
                    <w:pStyle w:val="Caption"/>
                    <w:spacing w:before="40" w:after="40"/>
                    <w:jc w:val="center"/>
                  </w:pPr>
                  <w:r>
                    <w:t>Национален референтен номер</w:t>
                  </w:r>
                </w:p>
              </w:tc>
              <w:tc>
                <w:tcPr>
                  <w:tcW w:w="2500" w:type="pct"/>
                  <w:shd w:val="clear" w:color="auto" w:fill="FFFFFF"/>
                  <w:vAlign w:val="center"/>
                </w:tcPr>
                <w:p w:rsidR="002B3815" w:rsidRDefault="002B3815">
                  <w:pPr>
                    <w:spacing w:before="40" w:after="40"/>
                    <w:jc w:val="center"/>
                  </w:pPr>
                </w:p>
              </w:tc>
            </w:tr>
            <w:tr w:rsidR="002B3815">
              <w:tc>
                <w:tcPr>
                  <w:tcW w:w="2500" w:type="pct"/>
                  <w:shd w:val="clear" w:color="auto" w:fill="FFFFFF"/>
                  <w:vAlign w:val="center"/>
                </w:tcPr>
                <w:p w:rsidR="002B3815" w:rsidRDefault="0099452B">
                  <w:pPr>
                    <w:pStyle w:val="Caption"/>
                    <w:spacing w:before="40" w:after="40"/>
                    <w:jc w:val="center"/>
                  </w:pPr>
                  <w:r>
                    <w:t>Дата на одобряване на комитет за наблюдение</w:t>
                  </w:r>
                </w:p>
              </w:tc>
              <w:tc>
                <w:tcPr>
                  <w:tcW w:w="2500" w:type="pct"/>
                  <w:shd w:val="clear" w:color="auto" w:fill="FFFFFF"/>
                  <w:vAlign w:val="center"/>
                </w:tcPr>
                <w:p w:rsidR="002B3815" w:rsidRDefault="0099452B">
                  <w:pPr>
                    <w:spacing w:before="40" w:after="40"/>
                    <w:jc w:val="center"/>
                  </w:pPr>
                  <w:r>
                    <w:t>21/06/2019</w:t>
                  </w:r>
                </w:p>
              </w:tc>
            </w:tr>
          </w:tbl>
          <w:p w:rsidR="002B3815" w:rsidRDefault="002B3815"/>
        </w:tc>
      </w:tr>
      <w:tr w:rsidR="002B3815">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5215"/>
            </w:tblGrid>
            <w:tr w:rsidR="002B3815">
              <w:tc>
                <w:tcPr>
                  <w:tcW w:w="0" w:type="auto"/>
                  <w:gridSpan w:val="2"/>
                  <w:shd w:val="clear" w:color="auto" w:fill="C0C0C0"/>
                </w:tcPr>
                <w:p w:rsidR="002B3815" w:rsidRDefault="0099452B">
                  <w:pPr>
                    <w:jc w:val="center"/>
                    <w:rPr>
                      <w:b/>
                    </w:rPr>
                  </w:pPr>
                  <w:r>
                    <w:rPr>
                      <w:b/>
                    </w:rPr>
                    <w:t>Версия на програмата в сила</w:t>
                  </w:r>
                </w:p>
              </w:tc>
            </w:tr>
            <w:tr w:rsidR="002B3815">
              <w:tc>
                <w:tcPr>
                  <w:tcW w:w="2500" w:type="pct"/>
                  <w:shd w:val="clear" w:color="auto" w:fill="FFFFFF"/>
                  <w:vAlign w:val="center"/>
                </w:tcPr>
                <w:p w:rsidR="002B3815" w:rsidRDefault="0099452B">
                  <w:pPr>
                    <w:pStyle w:val="Caption"/>
                    <w:spacing w:before="40" w:after="40"/>
                    <w:jc w:val="center"/>
                  </w:pPr>
                  <w:r>
                    <w:t>CCI</w:t>
                  </w:r>
                </w:p>
              </w:tc>
              <w:tc>
                <w:tcPr>
                  <w:tcW w:w="2500" w:type="pct"/>
                  <w:shd w:val="clear" w:color="auto" w:fill="FFFFFF"/>
                  <w:vAlign w:val="center"/>
                </w:tcPr>
                <w:p w:rsidR="002B3815" w:rsidRDefault="0099452B">
                  <w:pPr>
                    <w:spacing w:before="40" w:after="40"/>
                    <w:jc w:val="center"/>
                  </w:pPr>
                  <w:r>
                    <w:t>2014BG06RDNP001</w:t>
                  </w:r>
                </w:p>
              </w:tc>
            </w:tr>
            <w:tr w:rsidR="002B3815">
              <w:tc>
                <w:tcPr>
                  <w:tcW w:w="2500" w:type="pct"/>
                  <w:shd w:val="clear" w:color="auto" w:fill="FFFFFF"/>
                  <w:vAlign w:val="center"/>
                </w:tcPr>
                <w:p w:rsidR="002B3815" w:rsidRDefault="0099452B">
                  <w:pPr>
                    <w:pStyle w:val="Caption"/>
                    <w:spacing w:before="40" w:after="40"/>
                    <w:jc w:val="center"/>
                  </w:pPr>
                  <w:r>
                    <w:t>Вид на програмата</w:t>
                  </w:r>
                </w:p>
              </w:tc>
              <w:tc>
                <w:tcPr>
                  <w:tcW w:w="2500" w:type="pct"/>
                  <w:shd w:val="clear" w:color="auto" w:fill="FFFFFF"/>
                  <w:vAlign w:val="center"/>
                </w:tcPr>
                <w:p w:rsidR="002B3815" w:rsidRDefault="0099452B">
                  <w:pPr>
                    <w:spacing w:before="40" w:after="40"/>
                    <w:jc w:val="center"/>
                  </w:pPr>
                  <w:r>
                    <w:t>Програма за развитие на селските райони</w:t>
                  </w:r>
                </w:p>
              </w:tc>
            </w:tr>
            <w:tr w:rsidR="002B3815">
              <w:tc>
                <w:tcPr>
                  <w:tcW w:w="2500" w:type="pct"/>
                  <w:shd w:val="clear" w:color="auto" w:fill="FFFFFF"/>
                  <w:vAlign w:val="center"/>
                </w:tcPr>
                <w:p w:rsidR="002B3815" w:rsidRDefault="0099452B">
                  <w:pPr>
                    <w:pStyle w:val="Caption"/>
                    <w:spacing w:before="40" w:after="40"/>
                    <w:jc w:val="center"/>
                  </w:pPr>
                  <w:r>
                    <w:t>Държава</w:t>
                  </w:r>
                </w:p>
              </w:tc>
              <w:tc>
                <w:tcPr>
                  <w:tcW w:w="2500" w:type="pct"/>
                  <w:shd w:val="clear" w:color="auto" w:fill="FFFFFF"/>
                  <w:vAlign w:val="center"/>
                </w:tcPr>
                <w:p w:rsidR="002B3815" w:rsidRDefault="0099452B">
                  <w:pPr>
                    <w:spacing w:before="40" w:after="40"/>
                    <w:jc w:val="center"/>
                  </w:pPr>
                  <w:r>
                    <w:t>България</w:t>
                  </w:r>
                </w:p>
              </w:tc>
            </w:tr>
            <w:tr w:rsidR="002B3815">
              <w:tc>
                <w:tcPr>
                  <w:tcW w:w="2500" w:type="pct"/>
                  <w:shd w:val="clear" w:color="auto" w:fill="FFFFFF"/>
                  <w:vAlign w:val="center"/>
                </w:tcPr>
                <w:p w:rsidR="002B3815" w:rsidRDefault="0099452B">
                  <w:pPr>
                    <w:pStyle w:val="Caption"/>
                    <w:spacing w:before="40" w:after="40"/>
                    <w:jc w:val="center"/>
                  </w:pPr>
                  <w:r>
                    <w:t>Регион</w:t>
                  </w:r>
                </w:p>
              </w:tc>
              <w:tc>
                <w:tcPr>
                  <w:tcW w:w="2500" w:type="pct"/>
                  <w:shd w:val="clear" w:color="auto" w:fill="FFFFFF"/>
                  <w:vAlign w:val="center"/>
                </w:tcPr>
                <w:p w:rsidR="002B3815" w:rsidRDefault="0099452B">
                  <w:pPr>
                    <w:spacing w:before="40" w:after="40"/>
                    <w:jc w:val="center"/>
                  </w:pPr>
                  <w:r>
                    <w:t>BG - National</w:t>
                  </w:r>
                </w:p>
              </w:tc>
            </w:tr>
            <w:tr w:rsidR="002B3815">
              <w:tc>
                <w:tcPr>
                  <w:tcW w:w="2500" w:type="pct"/>
                  <w:shd w:val="clear" w:color="auto" w:fill="FFFFFF"/>
                  <w:vAlign w:val="center"/>
                </w:tcPr>
                <w:p w:rsidR="002B3815" w:rsidRDefault="0099452B">
                  <w:pPr>
                    <w:pStyle w:val="Caption"/>
                    <w:spacing w:before="40" w:after="40"/>
                    <w:jc w:val="center"/>
                  </w:pPr>
                  <w:r>
                    <w:t>Програмен период</w:t>
                  </w:r>
                </w:p>
              </w:tc>
              <w:tc>
                <w:tcPr>
                  <w:tcW w:w="2500" w:type="pct"/>
                  <w:shd w:val="clear" w:color="auto" w:fill="FFFFFF"/>
                  <w:vAlign w:val="center"/>
                </w:tcPr>
                <w:p w:rsidR="002B3815" w:rsidRDefault="0099452B">
                  <w:pPr>
                    <w:spacing w:before="40" w:after="40"/>
                    <w:jc w:val="center"/>
                  </w:pPr>
                  <w:r>
                    <w:t>2014 - 2020</w:t>
                  </w:r>
                </w:p>
              </w:tc>
            </w:tr>
            <w:tr w:rsidR="002B3815">
              <w:tc>
                <w:tcPr>
                  <w:tcW w:w="2500" w:type="pct"/>
                  <w:shd w:val="clear" w:color="auto" w:fill="FFFFFF"/>
                  <w:vAlign w:val="center"/>
                </w:tcPr>
                <w:p w:rsidR="002B3815" w:rsidRDefault="0099452B">
                  <w:pPr>
                    <w:pStyle w:val="Caption"/>
                    <w:spacing w:before="40" w:after="40"/>
                    <w:jc w:val="center"/>
                  </w:pPr>
                  <w:r>
                    <w:t>Версия</w:t>
                  </w:r>
                </w:p>
              </w:tc>
              <w:tc>
                <w:tcPr>
                  <w:tcW w:w="2500" w:type="pct"/>
                  <w:shd w:val="clear" w:color="auto" w:fill="FFFFFF"/>
                  <w:vAlign w:val="center"/>
                </w:tcPr>
                <w:p w:rsidR="002B3815" w:rsidRDefault="0099452B">
                  <w:pPr>
                    <w:spacing w:before="40" w:after="40"/>
                    <w:jc w:val="center"/>
                  </w:pPr>
                  <w:r>
                    <w:t>5.2</w:t>
                  </w:r>
                </w:p>
              </w:tc>
            </w:tr>
            <w:tr w:rsidR="002B3815">
              <w:tc>
                <w:tcPr>
                  <w:tcW w:w="2500" w:type="pct"/>
                  <w:shd w:val="clear" w:color="auto" w:fill="FFFFFF"/>
                  <w:vAlign w:val="center"/>
                </w:tcPr>
                <w:p w:rsidR="002B3815" w:rsidRDefault="0099452B">
                  <w:pPr>
                    <w:pStyle w:val="Caption"/>
                    <w:spacing w:before="40" w:after="40"/>
                    <w:jc w:val="center"/>
                  </w:pPr>
                  <w:r>
                    <w:t xml:space="preserve">Номер </w:t>
                  </w:r>
                  <w:r>
                    <w:t>на решението</w:t>
                  </w:r>
                </w:p>
              </w:tc>
              <w:tc>
                <w:tcPr>
                  <w:tcW w:w="2500" w:type="pct"/>
                  <w:shd w:val="clear" w:color="auto" w:fill="FFFFFF"/>
                  <w:vAlign w:val="center"/>
                </w:tcPr>
                <w:p w:rsidR="002B3815" w:rsidRDefault="0099452B">
                  <w:pPr>
                    <w:spacing w:before="40" w:after="40"/>
                    <w:jc w:val="center"/>
                  </w:pPr>
                  <w:r>
                    <w:t>C(2018)3192</w:t>
                  </w:r>
                </w:p>
              </w:tc>
            </w:tr>
            <w:tr w:rsidR="002B3815">
              <w:tc>
                <w:tcPr>
                  <w:tcW w:w="2500" w:type="pct"/>
                  <w:shd w:val="clear" w:color="auto" w:fill="FFFFFF"/>
                  <w:vAlign w:val="center"/>
                </w:tcPr>
                <w:p w:rsidR="002B3815" w:rsidRDefault="0099452B">
                  <w:pPr>
                    <w:pStyle w:val="Caption"/>
                    <w:spacing w:before="40" w:after="40"/>
                    <w:jc w:val="center"/>
                  </w:pPr>
                  <w:r>
                    <w:t>Дата на решението</w:t>
                  </w:r>
                </w:p>
              </w:tc>
              <w:tc>
                <w:tcPr>
                  <w:tcW w:w="2500" w:type="pct"/>
                  <w:shd w:val="clear" w:color="auto" w:fill="FFFFFF"/>
                  <w:vAlign w:val="center"/>
                </w:tcPr>
                <w:p w:rsidR="002B3815" w:rsidRDefault="0099452B">
                  <w:pPr>
                    <w:spacing w:before="40" w:after="40"/>
                    <w:jc w:val="center"/>
                  </w:pPr>
                  <w:r>
                    <w:t>18/05/2018</w:t>
                  </w:r>
                </w:p>
              </w:tc>
            </w:tr>
            <w:tr w:rsidR="002B3815">
              <w:tc>
                <w:tcPr>
                  <w:tcW w:w="2500" w:type="pct"/>
                  <w:shd w:val="clear" w:color="auto" w:fill="FFFFFF"/>
                  <w:vAlign w:val="center"/>
                </w:tcPr>
                <w:p w:rsidR="002B3815" w:rsidRDefault="0099452B">
                  <w:pPr>
                    <w:pStyle w:val="Caption"/>
                    <w:spacing w:before="40" w:after="40"/>
                    <w:jc w:val="center"/>
                  </w:pPr>
                  <w:r>
                    <w:t>Управляващ орган</w:t>
                  </w:r>
                </w:p>
              </w:tc>
              <w:tc>
                <w:tcPr>
                  <w:tcW w:w="2500" w:type="pct"/>
                  <w:shd w:val="clear" w:color="auto" w:fill="FFFFFF"/>
                  <w:vAlign w:val="center"/>
                </w:tcPr>
                <w:p w:rsidR="002B3815" w:rsidRDefault="0099452B">
                  <w:pPr>
                    <w:spacing w:before="40" w:after="40"/>
                    <w:jc w:val="center"/>
                  </w:pPr>
                  <w:r>
                    <w:t>Дирекция "Развитие на селските райони" (РСР) в Министерство на земеделието, храните и горите.</w:t>
                  </w:r>
                </w:p>
              </w:tc>
            </w:tr>
          </w:tbl>
          <w:p w:rsidR="002B3815" w:rsidRDefault="002B3815"/>
        </w:tc>
      </w:tr>
    </w:tbl>
    <w:p w:rsidR="002B3815" w:rsidRDefault="0099452B">
      <w:pPr>
        <w:sectPr w:rsidR="002B3815">
          <w:footerReference w:type="default" r:id="rId11"/>
          <w:headerReference w:type="first" r:id="rId12"/>
          <w:footerReference w:type="first" r:id="rId13"/>
          <w:pgSz w:w="12240" w:h="15840"/>
          <w:pgMar w:top="900" w:right="900" w:bottom="900" w:left="900" w:header="720" w:footer="720" w:gutter="0"/>
          <w:pgNumType w:start="1"/>
          <w:cols w:space="720"/>
          <w:vAlign w:val="both"/>
        </w:sectPr>
      </w:pPr>
      <w:r>
        <w:rPr>
          <w:sz w:val="15"/>
          <w:szCs w:val="15"/>
        </w:rPr>
        <w:t>Data and content of Tables F of the Annual Implementation Report on the achievement of milestones is linked with the last Rural Development Programme adopted by the Commission.</w:t>
      </w:r>
    </w:p>
    <w:p w:rsidR="002B3815" w:rsidRDefault="0099452B">
      <w:pPr>
        <w:jc w:val="center"/>
        <w:rPr>
          <w:b/>
          <w:sz w:val="32"/>
        </w:rPr>
      </w:pPr>
      <w:r>
        <w:rPr>
          <w:b/>
          <w:sz w:val="32"/>
        </w:rPr>
        <w:lastRenderedPageBreak/>
        <w:t>Съдържание</w:t>
      </w:r>
    </w:p>
    <w:p w:rsidR="002B3815" w:rsidRDefault="002B3815">
      <w:pPr>
        <w:jc w:val="center"/>
        <w:rPr>
          <w:b/>
          <w:sz w:val="32"/>
        </w:rPr>
      </w:pPr>
    </w:p>
    <w:p w:rsidR="002B3815" w:rsidRDefault="0099452B">
      <w:pPr>
        <w:pStyle w:val="TOC1"/>
        <w:rPr>
          <w:rFonts w:ascii="Calibri" w:hAnsi="Calibri"/>
          <w:noProof/>
          <w:sz w:val="22"/>
        </w:rPr>
      </w:pPr>
      <w:r>
        <w:fldChar w:fldCharType="begin"/>
      </w:r>
      <w:r>
        <w:instrText>TOC \o "1-3" \h \z \u</w:instrText>
      </w:r>
      <w:r>
        <w:fldChar w:fldCharType="separate"/>
      </w:r>
      <w:hyperlink w:anchor="_Toc256000162" w:history="1">
        <w:r>
          <w:rPr>
            <w:rStyle w:val="Hyperlink"/>
          </w:rPr>
          <w:t>1. Ключова информация относно изпълнението на програмата и нейните приоритети</w:t>
        </w:r>
        <w:r>
          <w:tab/>
        </w:r>
        <w:r>
          <w:fldChar w:fldCharType="begin"/>
        </w:r>
        <w:r>
          <w:instrText xml:space="preserve"> PAGEREF _Toc256000162 \h </w:instrText>
        </w:r>
        <w:r>
          <w:fldChar w:fldCharType="separate"/>
        </w:r>
        <w:r>
          <w:t>6</w:t>
        </w:r>
        <w:r>
          <w:fldChar w:fldCharType="end"/>
        </w:r>
      </w:hyperlink>
    </w:p>
    <w:p w:rsidR="002B3815" w:rsidRDefault="0099452B">
      <w:pPr>
        <w:pStyle w:val="TOC2"/>
        <w:rPr>
          <w:rFonts w:ascii="Calibri" w:hAnsi="Calibri"/>
          <w:noProof/>
          <w:sz w:val="22"/>
        </w:rPr>
      </w:pPr>
      <w:hyperlink w:anchor="_Toc256000163" w:history="1">
        <w:r>
          <w:rPr>
            <w:rStyle w:val="Hyperlink"/>
          </w:rPr>
          <w:t>1.a) Финансови данни</w:t>
        </w:r>
        <w:r>
          <w:tab/>
        </w:r>
        <w:r>
          <w:fldChar w:fldCharType="begin"/>
        </w:r>
        <w:r>
          <w:instrText xml:space="preserve"> PAGEREF _Toc256000163 \h </w:instrText>
        </w:r>
        <w:r>
          <w:fldChar w:fldCharType="separate"/>
        </w:r>
        <w:r>
          <w:t>6</w:t>
        </w:r>
        <w:r>
          <w:fldChar w:fldCharType="end"/>
        </w:r>
      </w:hyperlink>
    </w:p>
    <w:p w:rsidR="002B3815" w:rsidRDefault="0099452B">
      <w:pPr>
        <w:pStyle w:val="TOC2"/>
        <w:rPr>
          <w:rFonts w:ascii="Calibri" w:hAnsi="Calibri"/>
          <w:noProof/>
          <w:sz w:val="22"/>
        </w:rPr>
      </w:pPr>
      <w:hyperlink w:anchor="_Toc256000164" w:history="1">
        <w:r>
          <w:rPr>
            <w:rStyle w:val="Hyperlink"/>
          </w:rPr>
          <w:t>1.b) Общи и специфични за програмата показатели и количествени целеви стойности</w:t>
        </w:r>
        <w:r>
          <w:tab/>
        </w:r>
        <w:r>
          <w:fldChar w:fldCharType="begin"/>
        </w:r>
        <w:r>
          <w:instrText xml:space="preserve"> PAGEREF _Toc256000164 \h </w:instrText>
        </w:r>
        <w:r>
          <w:fldChar w:fldCharType="separate"/>
        </w:r>
        <w:r>
          <w:t>6</w:t>
        </w:r>
        <w:r>
          <w:fldChar w:fldCharType="end"/>
        </w:r>
      </w:hyperlink>
    </w:p>
    <w:p w:rsidR="002B3815" w:rsidRDefault="0099452B">
      <w:pPr>
        <w:pStyle w:val="TOC3"/>
        <w:rPr>
          <w:rFonts w:ascii="Calibri" w:hAnsi="Calibri"/>
          <w:noProof/>
          <w:sz w:val="22"/>
        </w:rPr>
      </w:pPr>
      <w:hyperlink w:anchor="_Toc256000165" w:history="1">
        <w:r>
          <w:rPr>
            <w:rStyle w:val="Hyperlink"/>
          </w:rPr>
          <w:t>1.b1) Таблица с общ преглед</w:t>
        </w:r>
        <w:r>
          <w:tab/>
        </w:r>
        <w:r>
          <w:fldChar w:fldCharType="begin"/>
        </w:r>
        <w:r>
          <w:instrText xml:space="preserve"> PAGEREF _Toc256000165 \h </w:instrText>
        </w:r>
        <w:r>
          <w:fldChar w:fldCharType="separate"/>
        </w:r>
        <w:r>
          <w:t>6</w:t>
        </w:r>
        <w:r>
          <w:fldChar w:fldCharType="end"/>
        </w:r>
      </w:hyperlink>
    </w:p>
    <w:p w:rsidR="002B3815" w:rsidRDefault="0099452B">
      <w:pPr>
        <w:pStyle w:val="TOC2"/>
        <w:rPr>
          <w:rFonts w:ascii="Calibri" w:hAnsi="Calibri"/>
          <w:noProof/>
          <w:sz w:val="22"/>
        </w:rPr>
      </w:pPr>
      <w:hyperlink w:anchor="_Toc256000166" w:history="1">
        <w:r>
          <w:rPr>
            <w:rStyle w:val="Hyperlink"/>
          </w:rPr>
          <w:t>1.c) Ключова инфор</w:t>
        </w:r>
        <w:r>
          <w:rPr>
            <w:rStyle w:val="Hyperlink"/>
          </w:rPr>
          <w:t>мация относно изпълнението на ПРСР въз основа на данни от a) и б) по акцентирани области</w:t>
        </w:r>
        <w:r>
          <w:tab/>
        </w:r>
        <w:r>
          <w:fldChar w:fldCharType="begin"/>
        </w:r>
        <w:r>
          <w:instrText xml:space="preserve"> PAGEREF _Toc256000166 \h </w:instrText>
        </w:r>
        <w:r>
          <w:fldChar w:fldCharType="separate"/>
        </w:r>
        <w:r>
          <w:t>17</w:t>
        </w:r>
        <w:r>
          <w:fldChar w:fldCharType="end"/>
        </w:r>
      </w:hyperlink>
    </w:p>
    <w:p w:rsidR="002B3815" w:rsidRDefault="0099452B">
      <w:pPr>
        <w:pStyle w:val="TOC2"/>
        <w:rPr>
          <w:rFonts w:ascii="Calibri" w:hAnsi="Calibri"/>
          <w:noProof/>
          <w:sz w:val="22"/>
        </w:rPr>
      </w:pPr>
      <w:hyperlink w:anchor="_Toc256000167" w:history="1">
        <w:r>
          <w:rPr>
            <w:rStyle w:val="Hyperlink"/>
          </w:rPr>
          <w:t>1.d) Ключова информация относно постиж</w:t>
        </w:r>
        <w:r>
          <w:rPr>
            <w:rStyle w:val="Hyperlink"/>
          </w:rPr>
          <w:t>енията във връзка с етапните цели, определени в рамката на изпълнението въз основа на таблица Е</w:t>
        </w:r>
        <w:r>
          <w:tab/>
        </w:r>
        <w:r>
          <w:fldChar w:fldCharType="begin"/>
        </w:r>
        <w:r>
          <w:instrText xml:space="preserve"> PAGEREF _Toc256000167 \h </w:instrText>
        </w:r>
        <w:r>
          <w:fldChar w:fldCharType="separate"/>
        </w:r>
        <w:r>
          <w:t>58</w:t>
        </w:r>
        <w:r>
          <w:fldChar w:fldCharType="end"/>
        </w:r>
      </w:hyperlink>
    </w:p>
    <w:p w:rsidR="002B3815" w:rsidRDefault="0099452B">
      <w:pPr>
        <w:pStyle w:val="TOC2"/>
        <w:rPr>
          <w:rFonts w:ascii="Calibri" w:hAnsi="Calibri"/>
          <w:noProof/>
          <w:sz w:val="22"/>
        </w:rPr>
      </w:pPr>
      <w:hyperlink w:anchor="_Toc256000168" w:history="1">
        <w:r>
          <w:rPr>
            <w:rStyle w:val="Hyperlink"/>
          </w:rPr>
          <w:t>1.e) Друг конкретен елемент по</w:t>
        </w:r>
        <w:r>
          <w:rPr>
            <w:rStyle w:val="Hyperlink"/>
          </w:rPr>
          <w:t xml:space="preserve"> ПРСР [незадължително]</w:t>
        </w:r>
        <w:r>
          <w:tab/>
        </w:r>
        <w:r>
          <w:fldChar w:fldCharType="begin"/>
        </w:r>
        <w:r>
          <w:instrText xml:space="preserve"> PAGEREF _Toc256000168 \h </w:instrText>
        </w:r>
        <w:r>
          <w:fldChar w:fldCharType="separate"/>
        </w:r>
        <w:r>
          <w:t>65</w:t>
        </w:r>
        <w:r>
          <w:fldChar w:fldCharType="end"/>
        </w:r>
      </w:hyperlink>
    </w:p>
    <w:p w:rsidR="002B3815" w:rsidRDefault="0099452B">
      <w:pPr>
        <w:pStyle w:val="TOC2"/>
        <w:rPr>
          <w:rFonts w:ascii="Calibri" w:hAnsi="Calibri"/>
          <w:noProof/>
          <w:sz w:val="22"/>
        </w:rPr>
      </w:pPr>
      <w:hyperlink w:anchor="_Toc256000169" w:history="1">
        <w:r>
          <w:rPr>
            <w:rStyle w:val="Hyperlink"/>
          </w:rPr>
          <w:t xml:space="preserve">1.f) </w:t>
        </w:r>
        <w:r>
          <w:rPr>
            <w:rStyle w:val="Hyperlink"/>
            <w:noProof/>
          </w:rPr>
          <w:t>По целесъобразност, приноса към макрорегионалните стратегии и стратегиите за морските басейни</w:t>
        </w:r>
        <w:r>
          <w:tab/>
        </w:r>
        <w:r>
          <w:fldChar w:fldCharType="begin"/>
        </w:r>
        <w:r>
          <w:instrText xml:space="preserve"> PAGEREF _Toc256000169 \h </w:instrText>
        </w:r>
        <w:r>
          <w:fldChar w:fldCharType="separate"/>
        </w:r>
        <w:r>
          <w:t>65</w:t>
        </w:r>
        <w:r>
          <w:fldChar w:fldCharType="end"/>
        </w:r>
      </w:hyperlink>
    </w:p>
    <w:p w:rsidR="002B3815" w:rsidRDefault="0099452B">
      <w:pPr>
        <w:pStyle w:val="TOC3"/>
        <w:rPr>
          <w:rFonts w:ascii="Calibri" w:hAnsi="Calibri"/>
          <w:noProof/>
          <w:sz w:val="22"/>
        </w:rPr>
      </w:pPr>
      <w:hyperlink w:anchor="_Toc256000170" w:history="1">
        <w:r>
          <w:rPr>
            <w:rStyle w:val="Hyperlink"/>
          </w:rPr>
          <w:t xml:space="preserve">1.f1) </w:t>
        </w:r>
        <w:r w:rsidRPr="003C089B">
          <w:rPr>
            <w:rStyle w:val="Hyperlink"/>
            <w:noProof/>
          </w:rPr>
          <w:t>Стратегия на ЕС за региона на река Дунав (EUSDR)</w:t>
        </w:r>
        <w:r>
          <w:tab/>
        </w:r>
        <w:r>
          <w:fldChar w:fldCharType="begin"/>
        </w:r>
        <w:r>
          <w:instrText xml:space="preserve"> PAGEREF _Toc256000170 \h </w:instrText>
        </w:r>
        <w:r>
          <w:fldChar w:fldCharType="separate"/>
        </w:r>
        <w:r>
          <w:t>66</w:t>
        </w:r>
        <w:r>
          <w:fldChar w:fldCharType="end"/>
        </w:r>
      </w:hyperlink>
    </w:p>
    <w:p w:rsidR="002B3815" w:rsidRDefault="0099452B">
      <w:pPr>
        <w:pStyle w:val="TOC2"/>
        <w:rPr>
          <w:rFonts w:ascii="Calibri" w:hAnsi="Calibri"/>
          <w:noProof/>
          <w:sz w:val="22"/>
        </w:rPr>
      </w:pPr>
      <w:hyperlink w:anchor="_Toc256000171" w:history="1">
        <w:r>
          <w:rPr>
            <w:rStyle w:val="Hyperlink"/>
          </w:rPr>
          <w:t>1.g) Валутен курс, използван за преизчисляването в ГДИ (страни извън ЕС)</w:t>
        </w:r>
        <w:r>
          <w:tab/>
        </w:r>
        <w:r>
          <w:fldChar w:fldCharType="begin"/>
        </w:r>
        <w:r>
          <w:instrText xml:space="preserve"> PAGEREF _Toc256000171 \h </w:instrText>
        </w:r>
        <w:r>
          <w:fldChar w:fldCharType="separate"/>
        </w:r>
        <w:r>
          <w:t>70</w:t>
        </w:r>
        <w:r>
          <w:fldChar w:fldCharType="end"/>
        </w:r>
      </w:hyperlink>
    </w:p>
    <w:p w:rsidR="002B3815" w:rsidRDefault="0099452B">
      <w:pPr>
        <w:pStyle w:val="TOC1"/>
        <w:rPr>
          <w:rFonts w:ascii="Calibri" w:hAnsi="Calibri"/>
          <w:noProof/>
          <w:sz w:val="22"/>
        </w:rPr>
      </w:pPr>
      <w:hyperlink w:anchor="_Toc256000172" w:history="1">
        <w:r>
          <w:rPr>
            <w:rStyle w:val="Hyperlink"/>
          </w:rPr>
          <w:t>2. Напредъкът в изпълнението на плана за оценка</w:t>
        </w:r>
        <w:r>
          <w:tab/>
        </w:r>
        <w:r>
          <w:fldChar w:fldCharType="begin"/>
        </w:r>
        <w:r>
          <w:instrText xml:space="preserve"> PAGEREF _Toc256000172 \h </w:instrText>
        </w:r>
        <w:r>
          <w:fldChar w:fldCharType="separate"/>
        </w:r>
        <w:r>
          <w:t>71</w:t>
        </w:r>
        <w:r>
          <w:fldChar w:fldCharType="end"/>
        </w:r>
      </w:hyperlink>
    </w:p>
    <w:p w:rsidR="002B3815" w:rsidRDefault="0099452B">
      <w:pPr>
        <w:pStyle w:val="TOC2"/>
        <w:rPr>
          <w:rFonts w:ascii="Calibri" w:hAnsi="Calibri"/>
          <w:noProof/>
          <w:sz w:val="22"/>
        </w:rPr>
      </w:pPr>
      <w:hyperlink w:anchor="_Toc256000173" w:history="1">
        <w:r>
          <w:rPr>
            <w:rStyle w:val="Hyperlink"/>
          </w:rPr>
          <w:t>2.a) Описание на евентуални изменения, направени в плана за оценка на ПРСР</w:t>
        </w:r>
        <w:r>
          <w:rPr>
            <w:rStyle w:val="Hyperlink"/>
          </w:rPr>
          <w:t xml:space="preserve"> през годината, със съответната обосновка</w:t>
        </w:r>
        <w:r>
          <w:tab/>
        </w:r>
        <w:r>
          <w:fldChar w:fldCharType="begin"/>
        </w:r>
        <w:r>
          <w:instrText xml:space="preserve"> PAGEREF _Toc256000173 \h </w:instrText>
        </w:r>
        <w:r>
          <w:fldChar w:fldCharType="separate"/>
        </w:r>
        <w:r>
          <w:t>71</w:t>
        </w:r>
        <w:r>
          <w:fldChar w:fldCharType="end"/>
        </w:r>
      </w:hyperlink>
    </w:p>
    <w:p w:rsidR="002B3815" w:rsidRDefault="0099452B">
      <w:pPr>
        <w:pStyle w:val="TOC2"/>
        <w:rPr>
          <w:rFonts w:ascii="Calibri" w:hAnsi="Calibri"/>
          <w:noProof/>
          <w:sz w:val="22"/>
        </w:rPr>
      </w:pPr>
      <w:hyperlink w:anchor="_Toc256000174" w:history="1">
        <w:r>
          <w:rPr>
            <w:rStyle w:val="Hyperlink"/>
          </w:rPr>
          <w:t>2.b) Описание на предприетите дейности за оценка през годината (във връзка с раздел </w:t>
        </w:r>
        <w:r>
          <w:rPr>
            <w:rStyle w:val="Hyperlink"/>
          </w:rPr>
          <w:t>3 на плана за оценка)</w:t>
        </w:r>
        <w:r>
          <w:tab/>
        </w:r>
        <w:r>
          <w:fldChar w:fldCharType="begin"/>
        </w:r>
        <w:r>
          <w:instrText xml:space="preserve"> PAGEREF _Toc256000174 \h </w:instrText>
        </w:r>
        <w:r>
          <w:fldChar w:fldCharType="separate"/>
        </w:r>
        <w:r>
          <w:t>75</w:t>
        </w:r>
        <w:r>
          <w:fldChar w:fldCharType="end"/>
        </w:r>
      </w:hyperlink>
    </w:p>
    <w:p w:rsidR="002B3815" w:rsidRDefault="0099452B">
      <w:pPr>
        <w:pStyle w:val="TOC2"/>
        <w:rPr>
          <w:rFonts w:ascii="Calibri" w:hAnsi="Calibri"/>
          <w:noProof/>
          <w:sz w:val="22"/>
        </w:rPr>
      </w:pPr>
      <w:hyperlink w:anchor="_Toc256000175" w:history="1">
        <w:r>
          <w:rPr>
            <w:rStyle w:val="Hyperlink"/>
          </w:rPr>
          <w:t>2.c) Описание на дейностите, предприети по отношение на предоставянето и управлението на данни (във връз</w:t>
        </w:r>
        <w:r>
          <w:rPr>
            <w:rStyle w:val="Hyperlink"/>
          </w:rPr>
          <w:t>ка с раздел 4 на плана за оценка)</w:t>
        </w:r>
        <w:r>
          <w:tab/>
        </w:r>
        <w:r>
          <w:fldChar w:fldCharType="begin"/>
        </w:r>
        <w:r>
          <w:instrText xml:space="preserve"> PAGEREF _Toc256000175 \h </w:instrText>
        </w:r>
        <w:r>
          <w:fldChar w:fldCharType="separate"/>
        </w:r>
        <w:r>
          <w:t>79</w:t>
        </w:r>
        <w:r>
          <w:fldChar w:fldCharType="end"/>
        </w:r>
      </w:hyperlink>
    </w:p>
    <w:p w:rsidR="002B3815" w:rsidRDefault="0099452B">
      <w:pPr>
        <w:pStyle w:val="TOC2"/>
        <w:rPr>
          <w:rFonts w:ascii="Calibri" w:hAnsi="Calibri"/>
          <w:noProof/>
          <w:sz w:val="22"/>
        </w:rPr>
      </w:pPr>
      <w:hyperlink w:anchor="_Toc256000176" w:history="1">
        <w:r>
          <w:rPr>
            <w:rStyle w:val="Hyperlink"/>
          </w:rPr>
          <w:t>2.d) Списък на завършените оценки, включително посочване на местата, където те са публикуван</w:t>
        </w:r>
        <w:r>
          <w:rPr>
            <w:rStyle w:val="Hyperlink"/>
          </w:rPr>
          <w:t>и в интернет</w:t>
        </w:r>
        <w:r>
          <w:tab/>
        </w:r>
        <w:r>
          <w:fldChar w:fldCharType="begin"/>
        </w:r>
        <w:r>
          <w:instrText xml:space="preserve"> PAGEREF _Toc256000176 \h </w:instrText>
        </w:r>
        <w:r>
          <w:fldChar w:fldCharType="separate"/>
        </w:r>
        <w:r>
          <w:t>80</w:t>
        </w:r>
        <w:r>
          <w:fldChar w:fldCharType="end"/>
        </w:r>
      </w:hyperlink>
    </w:p>
    <w:p w:rsidR="002B3815" w:rsidRDefault="0099452B">
      <w:pPr>
        <w:pStyle w:val="TOC2"/>
        <w:rPr>
          <w:rFonts w:ascii="Calibri" w:hAnsi="Calibri"/>
          <w:noProof/>
          <w:sz w:val="22"/>
        </w:rPr>
      </w:pPr>
      <w:hyperlink w:anchor="_Toc256000177" w:history="1">
        <w:r>
          <w:rPr>
            <w:rStyle w:val="Hyperlink"/>
          </w:rPr>
          <w:t>2.e) Резюме на приключени оценки, което се съсредоточава върху заключенията от тях</w:t>
        </w:r>
        <w:r>
          <w:tab/>
        </w:r>
        <w:r>
          <w:fldChar w:fldCharType="begin"/>
        </w:r>
        <w:r>
          <w:instrText xml:space="preserve"> PAGEREF _Toc256000177 \h </w:instrText>
        </w:r>
        <w:r>
          <w:fldChar w:fldCharType="separate"/>
        </w:r>
        <w:r>
          <w:t>81</w:t>
        </w:r>
        <w:r>
          <w:fldChar w:fldCharType="end"/>
        </w:r>
      </w:hyperlink>
    </w:p>
    <w:p w:rsidR="002B3815" w:rsidRDefault="0099452B">
      <w:pPr>
        <w:pStyle w:val="TOC2"/>
        <w:rPr>
          <w:rFonts w:ascii="Calibri" w:hAnsi="Calibri"/>
          <w:noProof/>
          <w:sz w:val="22"/>
        </w:rPr>
      </w:pPr>
      <w:hyperlink w:anchor="_Toc256000178" w:history="1">
        <w:r>
          <w:rPr>
            <w:rStyle w:val="Hyperlink"/>
          </w:rPr>
          <w:t>2.f) Описание на дейностите, предприети по отношение на публикуването на констатациите от оценката (във връзка с раздел 6 на плана за оценка)</w:t>
        </w:r>
        <w:r>
          <w:tab/>
        </w:r>
        <w:r>
          <w:fldChar w:fldCharType="begin"/>
        </w:r>
        <w:r>
          <w:instrText xml:space="preserve"> PAGEREF _Toc256</w:instrText>
        </w:r>
        <w:r>
          <w:instrText xml:space="preserve">000178 \h </w:instrText>
        </w:r>
        <w:r>
          <w:fldChar w:fldCharType="separate"/>
        </w:r>
        <w:r>
          <w:t>81</w:t>
        </w:r>
        <w:r>
          <w:fldChar w:fldCharType="end"/>
        </w:r>
      </w:hyperlink>
    </w:p>
    <w:p w:rsidR="002B3815" w:rsidRDefault="0099452B">
      <w:pPr>
        <w:pStyle w:val="TOC2"/>
        <w:rPr>
          <w:rFonts w:ascii="Calibri" w:hAnsi="Calibri"/>
          <w:noProof/>
          <w:sz w:val="22"/>
        </w:rPr>
      </w:pPr>
      <w:hyperlink w:anchor="_Toc256000179" w:history="1">
        <w:r>
          <w:rPr>
            <w:rStyle w:val="Hyperlink"/>
          </w:rPr>
          <w:t>2.g) Описание на предприетите последващи действия във връзка с резултатите от оценката (във връзка с раздел 6 на плана за оценка)</w:t>
        </w:r>
        <w:r>
          <w:tab/>
        </w:r>
        <w:r>
          <w:fldChar w:fldCharType="begin"/>
        </w:r>
        <w:r>
          <w:instrText xml:space="preserve"> PAGEREF _To</w:instrText>
        </w:r>
        <w:r>
          <w:instrText xml:space="preserve">c256000179 \h </w:instrText>
        </w:r>
        <w:r>
          <w:fldChar w:fldCharType="separate"/>
        </w:r>
        <w:r>
          <w:t>82</w:t>
        </w:r>
        <w:r>
          <w:fldChar w:fldCharType="end"/>
        </w:r>
      </w:hyperlink>
    </w:p>
    <w:p w:rsidR="002B3815" w:rsidRDefault="0099452B">
      <w:pPr>
        <w:pStyle w:val="TOC1"/>
        <w:rPr>
          <w:rFonts w:ascii="Calibri" w:hAnsi="Calibri"/>
          <w:noProof/>
          <w:sz w:val="22"/>
        </w:rPr>
      </w:pPr>
      <w:hyperlink w:anchor="_Toc256000180" w:history="1">
        <w:r>
          <w:rPr>
            <w:rStyle w:val="Hyperlink"/>
          </w:rPr>
          <w:t>3. Проблеми, свързани с изпълнението на програмата и приетите мерки</w:t>
        </w:r>
        <w:r>
          <w:tab/>
        </w:r>
        <w:r>
          <w:fldChar w:fldCharType="begin"/>
        </w:r>
        <w:r>
          <w:instrText xml:space="preserve"> PAGEREF _Toc256000180 \h </w:instrText>
        </w:r>
        <w:r>
          <w:fldChar w:fldCharType="separate"/>
        </w:r>
        <w:r>
          <w:t>83</w:t>
        </w:r>
        <w:r>
          <w:fldChar w:fldCharType="end"/>
        </w:r>
      </w:hyperlink>
    </w:p>
    <w:p w:rsidR="002B3815" w:rsidRDefault="0099452B">
      <w:pPr>
        <w:pStyle w:val="TOC2"/>
        <w:rPr>
          <w:rFonts w:ascii="Calibri" w:hAnsi="Calibri"/>
          <w:noProof/>
          <w:sz w:val="22"/>
        </w:rPr>
      </w:pPr>
      <w:hyperlink w:anchor="_Toc256000181" w:history="1">
        <w:r>
          <w:rPr>
            <w:rStyle w:val="Hyperlink"/>
          </w:rPr>
          <w:t>3.a) Описание на предприетите стъпки за осигуряване на качеството и ефективността на изпълнението на програмата</w:t>
        </w:r>
        <w:r>
          <w:tab/>
        </w:r>
        <w:r>
          <w:fldChar w:fldCharType="begin"/>
        </w:r>
        <w:r>
          <w:instrText xml:space="preserve"> PAGEREF _Toc256000181 \h </w:instrText>
        </w:r>
        <w:r>
          <w:fldChar w:fldCharType="separate"/>
        </w:r>
        <w:r>
          <w:t>83</w:t>
        </w:r>
        <w:r>
          <w:fldChar w:fldCharType="end"/>
        </w:r>
      </w:hyperlink>
    </w:p>
    <w:p w:rsidR="002B3815" w:rsidRDefault="0099452B">
      <w:pPr>
        <w:pStyle w:val="TOC2"/>
        <w:rPr>
          <w:rFonts w:ascii="Calibri" w:hAnsi="Calibri"/>
          <w:noProof/>
          <w:sz w:val="22"/>
        </w:rPr>
      </w:pPr>
      <w:hyperlink w:anchor="_Toc256000182" w:history="1">
        <w:r>
          <w:rPr>
            <w:rStyle w:val="Hyperlink"/>
          </w:rPr>
          <w:t>3.b) Качество и ефикасност на механизмите за изпълнение</w:t>
        </w:r>
        <w:r>
          <w:tab/>
        </w:r>
        <w:r>
          <w:fldChar w:fldCharType="begin"/>
        </w:r>
        <w:r>
          <w:instrText xml:space="preserve"> PAGEREF _Toc256000182 \h </w:instrText>
        </w:r>
        <w:r>
          <w:fldChar w:fldCharType="separate"/>
        </w:r>
        <w:r>
          <w:t>87</w:t>
        </w:r>
        <w:r>
          <w:fldChar w:fldCharType="end"/>
        </w:r>
      </w:hyperlink>
    </w:p>
    <w:p w:rsidR="002B3815" w:rsidRDefault="0099452B">
      <w:pPr>
        <w:pStyle w:val="TOC1"/>
        <w:rPr>
          <w:rFonts w:ascii="Calibri" w:hAnsi="Calibri"/>
          <w:noProof/>
          <w:sz w:val="22"/>
        </w:rPr>
      </w:pPr>
      <w:hyperlink w:anchor="_Toc256000183" w:history="1">
        <w:r>
          <w:rPr>
            <w:rStyle w:val="Hyperlink"/>
          </w:rPr>
          <w:t>4. Стъпки, предприети за прилагане на техническата помощ и изискванията за публичност на програмите</w:t>
        </w:r>
        <w:r>
          <w:tab/>
        </w:r>
        <w:r>
          <w:fldChar w:fldCharType="begin"/>
        </w:r>
        <w:r>
          <w:instrText xml:space="preserve"> PAGEREF _Toc256000183 \h </w:instrText>
        </w:r>
        <w:r>
          <w:fldChar w:fldCharType="separate"/>
        </w:r>
        <w:r>
          <w:t>88</w:t>
        </w:r>
        <w:r>
          <w:fldChar w:fldCharType="end"/>
        </w:r>
      </w:hyperlink>
    </w:p>
    <w:p w:rsidR="002B3815" w:rsidRDefault="0099452B">
      <w:pPr>
        <w:pStyle w:val="TOC2"/>
        <w:rPr>
          <w:rFonts w:ascii="Calibri" w:hAnsi="Calibri"/>
          <w:noProof/>
          <w:sz w:val="22"/>
        </w:rPr>
      </w:pPr>
      <w:hyperlink w:anchor="_Toc256000184" w:history="1">
        <w:r>
          <w:rPr>
            <w:rStyle w:val="Hyperlink"/>
          </w:rPr>
          <w:t>4.a) Предприети действия и актуално състояние по отношение на създаването на НМСР и изпълнението на нейния план за действие</w:t>
        </w:r>
        <w:r>
          <w:tab/>
        </w:r>
        <w:r>
          <w:fldChar w:fldCharType="begin"/>
        </w:r>
        <w:r>
          <w:instrText xml:space="preserve"> PAGEREF _Toc256000184 \h </w:instrText>
        </w:r>
        <w:r>
          <w:fldChar w:fldCharType="separate"/>
        </w:r>
        <w:r>
          <w:t>88</w:t>
        </w:r>
        <w:r>
          <w:fldChar w:fldCharType="end"/>
        </w:r>
      </w:hyperlink>
    </w:p>
    <w:p w:rsidR="002B3815" w:rsidRDefault="0099452B">
      <w:pPr>
        <w:pStyle w:val="TOC3"/>
        <w:rPr>
          <w:rFonts w:ascii="Calibri" w:hAnsi="Calibri"/>
          <w:noProof/>
          <w:sz w:val="22"/>
        </w:rPr>
      </w:pPr>
      <w:hyperlink w:anchor="_Toc256000185" w:history="1">
        <w:r>
          <w:rPr>
            <w:rStyle w:val="Hyperlink"/>
          </w:rPr>
          <w:t>4.a1) Предприети действия и актуално състояние по отношение на създаването на НМСР (структура на управление и звено за подкрепа на мрежата)</w:t>
        </w:r>
        <w:r>
          <w:tab/>
        </w:r>
        <w:r>
          <w:fldChar w:fldCharType="begin"/>
        </w:r>
        <w:r>
          <w:instrText xml:space="preserve"> PAGEREF _Toc256000185 \h </w:instrText>
        </w:r>
        <w:r>
          <w:fldChar w:fldCharType="separate"/>
        </w:r>
        <w:r>
          <w:t>88</w:t>
        </w:r>
        <w:r>
          <w:fldChar w:fldCharType="end"/>
        </w:r>
      </w:hyperlink>
    </w:p>
    <w:p w:rsidR="002B3815" w:rsidRDefault="0099452B">
      <w:pPr>
        <w:pStyle w:val="TOC3"/>
        <w:rPr>
          <w:rFonts w:ascii="Calibri" w:hAnsi="Calibri"/>
          <w:noProof/>
          <w:sz w:val="22"/>
        </w:rPr>
      </w:pPr>
      <w:hyperlink w:anchor="_Toc256000186" w:history="1">
        <w:r>
          <w:rPr>
            <w:rStyle w:val="Hyperlink"/>
          </w:rPr>
          <w:t>4.a2) Предприетите действия и актуалното състояние по отношение на изпълнението на плана за действие</w:t>
        </w:r>
        <w:r>
          <w:tab/>
        </w:r>
        <w:r>
          <w:fldChar w:fldCharType="begin"/>
        </w:r>
        <w:r>
          <w:instrText xml:space="preserve"> PAGEREF _Toc256000186 \h </w:instrText>
        </w:r>
        <w:r>
          <w:fldChar w:fldCharType="separate"/>
        </w:r>
        <w:r>
          <w:t>88</w:t>
        </w:r>
        <w:r>
          <w:fldChar w:fldCharType="end"/>
        </w:r>
      </w:hyperlink>
    </w:p>
    <w:p w:rsidR="002B3815" w:rsidRDefault="0099452B">
      <w:pPr>
        <w:pStyle w:val="TOC2"/>
        <w:rPr>
          <w:rFonts w:ascii="Calibri" w:hAnsi="Calibri"/>
          <w:noProof/>
          <w:sz w:val="22"/>
        </w:rPr>
      </w:pPr>
      <w:hyperlink w:anchor="_Toc256000187" w:history="1">
        <w:r>
          <w:rPr>
            <w:rStyle w:val="Hyperlink"/>
          </w:rPr>
          <w:t>4.b) Стъпки, предприети за осигуряване на публичност на програмата (член 13 от Регламент за изпълнение (ЕС) № 808/2014 на Комисията)</w:t>
        </w:r>
        <w:r>
          <w:tab/>
        </w:r>
        <w:r>
          <w:fldChar w:fldCharType="begin"/>
        </w:r>
        <w:r>
          <w:instrText xml:space="preserve"> PAGEREF _Toc256000187 \h </w:instrText>
        </w:r>
        <w:r>
          <w:fldChar w:fldCharType="separate"/>
        </w:r>
        <w:r>
          <w:t>88</w:t>
        </w:r>
        <w:r>
          <w:fldChar w:fldCharType="end"/>
        </w:r>
      </w:hyperlink>
    </w:p>
    <w:p w:rsidR="002B3815" w:rsidRDefault="0099452B">
      <w:pPr>
        <w:pStyle w:val="TOC1"/>
        <w:rPr>
          <w:rFonts w:ascii="Calibri" w:hAnsi="Calibri"/>
          <w:noProof/>
          <w:sz w:val="22"/>
        </w:rPr>
      </w:pPr>
      <w:hyperlink w:anchor="_Toc256000188" w:history="1">
        <w:r>
          <w:rPr>
            <w:rStyle w:val="Hyperlink"/>
          </w:rPr>
          <w:t>5. Действия, предприети за изпълнение на предварителните условия</w:t>
        </w:r>
        <w:r>
          <w:tab/>
        </w:r>
        <w:r>
          <w:fldChar w:fldCharType="begin"/>
        </w:r>
        <w:r>
          <w:instrText xml:space="preserve"> PAGEREF _Toc256000188 \h </w:instrText>
        </w:r>
        <w:r>
          <w:fldChar w:fldCharType="separate"/>
        </w:r>
        <w:r>
          <w:t>91</w:t>
        </w:r>
        <w:r>
          <w:fldChar w:fldCharType="end"/>
        </w:r>
      </w:hyperlink>
    </w:p>
    <w:p w:rsidR="002B3815" w:rsidRDefault="0099452B">
      <w:pPr>
        <w:pStyle w:val="TOC1"/>
        <w:rPr>
          <w:rFonts w:ascii="Calibri" w:hAnsi="Calibri"/>
          <w:noProof/>
          <w:sz w:val="22"/>
        </w:rPr>
      </w:pPr>
      <w:hyperlink w:anchor="_Toc256000189" w:history="1">
        <w:r>
          <w:rPr>
            <w:rStyle w:val="Hyperlink"/>
          </w:rPr>
          <w:t>6. Описание на изпълнението на подпрограмите</w:t>
        </w:r>
        <w:r>
          <w:tab/>
        </w:r>
        <w:r>
          <w:fldChar w:fldCharType="begin"/>
        </w:r>
        <w:r>
          <w:instrText xml:space="preserve"> PAGERE</w:instrText>
        </w:r>
        <w:r>
          <w:instrText xml:space="preserve">F _Toc256000189 \h </w:instrText>
        </w:r>
        <w:r>
          <w:fldChar w:fldCharType="separate"/>
        </w:r>
        <w:r>
          <w:t>92</w:t>
        </w:r>
        <w:r>
          <w:fldChar w:fldCharType="end"/>
        </w:r>
      </w:hyperlink>
    </w:p>
    <w:p w:rsidR="002B3815" w:rsidRDefault="0099452B">
      <w:pPr>
        <w:pStyle w:val="TOC1"/>
        <w:rPr>
          <w:rFonts w:ascii="Calibri" w:hAnsi="Calibri"/>
          <w:noProof/>
          <w:sz w:val="22"/>
        </w:rPr>
      </w:pPr>
      <w:hyperlink w:anchor="_Toc256000190" w:history="1">
        <w:r>
          <w:rPr>
            <w:rStyle w:val="Hyperlink"/>
          </w:rPr>
          <w:t>7. Оценка на информацията и напредъка в постигането на целите на програмата</w:t>
        </w:r>
        <w:r>
          <w:tab/>
        </w:r>
        <w:r>
          <w:fldChar w:fldCharType="begin"/>
        </w:r>
        <w:r>
          <w:instrText xml:space="preserve"> PAGEREF _Toc256000190 \h </w:instrText>
        </w:r>
        <w:r>
          <w:fldChar w:fldCharType="separate"/>
        </w:r>
        <w:r>
          <w:t>94</w:t>
        </w:r>
        <w:r>
          <w:fldChar w:fldCharType="end"/>
        </w:r>
      </w:hyperlink>
    </w:p>
    <w:p w:rsidR="002B3815" w:rsidRDefault="0099452B">
      <w:pPr>
        <w:pStyle w:val="TOC2"/>
        <w:rPr>
          <w:rFonts w:ascii="Calibri" w:hAnsi="Calibri"/>
          <w:noProof/>
          <w:sz w:val="22"/>
        </w:rPr>
      </w:pPr>
      <w:hyperlink w:anchor="_Toc256000191" w:history="1">
        <w:r>
          <w:rPr>
            <w:rStyle w:val="Hyperlink"/>
          </w:rPr>
          <w:t>7.a) Evaluation questions</w:t>
        </w:r>
        <w:r>
          <w:tab/>
        </w:r>
        <w:r>
          <w:fldChar w:fldCharType="begin"/>
        </w:r>
        <w:r>
          <w:instrText xml:space="preserve"> PAGEREF _Toc256000191 \h </w:instrText>
        </w:r>
        <w:r>
          <w:fldChar w:fldCharType="separate"/>
        </w:r>
        <w:r>
          <w:t>94</w:t>
        </w:r>
        <w:r>
          <w:fldChar w:fldCharType="end"/>
        </w:r>
      </w:hyperlink>
    </w:p>
    <w:p w:rsidR="002B3815" w:rsidRDefault="0099452B">
      <w:pPr>
        <w:pStyle w:val="TOC3"/>
        <w:rPr>
          <w:rFonts w:ascii="Calibri" w:hAnsi="Calibri"/>
          <w:noProof/>
          <w:sz w:val="22"/>
        </w:rPr>
      </w:pPr>
      <w:hyperlink w:anchor="_Toc256000192" w:history="1">
        <w:r>
          <w:rPr>
            <w:rStyle w:val="Hyperlink"/>
          </w:rPr>
          <w:t>7.a1) CEQ01-1A - До каква ст</w:t>
        </w:r>
        <w:r>
          <w:rPr>
            <w:rStyle w:val="Hyperlink"/>
          </w:rPr>
          <w:t>епен интервенциите по ПРСР са подпомогнали иновациите, сътрудничеството и развитието на базата знания в селските райони?</w:t>
        </w:r>
        <w:r>
          <w:tab/>
        </w:r>
        <w:r>
          <w:fldChar w:fldCharType="begin"/>
        </w:r>
        <w:r>
          <w:instrText xml:space="preserve"> PAGEREF _Toc256000192 \h </w:instrText>
        </w:r>
        <w:r>
          <w:fldChar w:fldCharType="separate"/>
        </w:r>
        <w:r>
          <w:t>94</w:t>
        </w:r>
        <w:r>
          <w:fldChar w:fldCharType="end"/>
        </w:r>
      </w:hyperlink>
    </w:p>
    <w:p w:rsidR="002B3815" w:rsidRDefault="0099452B">
      <w:pPr>
        <w:pStyle w:val="TOC3"/>
        <w:rPr>
          <w:rFonts w:ascii="Calibri" w:hAnsi="Calibri"/>
          <w:noProof/>
          <w:sz w:val="22"/>
        </w:rPr>
      </w:pPr>
      <w:hyperlink w:anchor="_Toc256000193" w:history="1">
        <w:r>
          <w:rPr>
            <w:rStyle w:val="Hyperlink"/>
          </w:rPr>
          <w:t xml:space="preserve">7.a2) </w:t>
        </w:r>
        <w:r>
          <w:rPr>
            <w:rStyle w:val="Hyperlink"/>
          </w:rPr>
          <w:t>CEQ02-1B - До каква степен интервенциите по ПРСР са засилили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w:t>
        </w:r>
        <w:r>
          <w:rPr>
            <w:rStyle w:val="Hyperlink"/>
          </w:rPr>
          <w:t>чните показатели?</w:t>
        </w:r>
        <w:r>
          <w:tab/>
        </w:r>
        <w:r>
          <w:fldChar w:fldCharType="begin"/>
        </w:r>
        <w:r>
          <w:instrText xml:space="preserve"> PAGEREF _Toc256000193 \h </w:instrText>
        </w:r>
        <w:r>
          <w:fldChar w:fldCharType="separate"/>
        </w:r>
        <w:r>
          <w:t>94</w:t>
        </w:r>
        <w:r>
          <w:fldChar w:fldCharType="end"/>
        </w:r>
      </w:hyperlink>
    </w:p>
    <w:p w:rsidR="002B3815" w:rsidRDefault="0099452B">
      <w:pPr>
        <w:pStyle w:val="TOC3"/>
        <w:rPr>
          <w:rFonts w:ascii="Calibri" w:hAnsi="Calibri"/>
          <w:noProof/>
          <w:sz w:val="22"/>
        </w:rPr>
      </w:pPr>
      <w:hyperlink w:anchor="_Toc256000194" w:history="1">
        <w:r>
          <w:rPr>
            <w:rStyle w:val="Hyperlink"/>
          </w:rPr>
          <w:t>7.a3) CEQ03-1C - До каква степен интервенциите по ПРСР са подпомогнали ученето през целия живот и професиона</w:t>
        </w:r>
        <w:r>
          <w:rPr>
            <w:rStyle w:val="Hyperlink"/>
          </w:rPr>
          <w:t>лното обучение в секторите на селското и горското стопанство?</w:t>
        </w:r>
        <w:r>
          <w:tab/>
        </w:r>
        <w:r>
          <w:fldChar w:fldCharType="begin"/>
        </w:r>
        <w:r>
          <w:instrText xml:space="preserve"> PAGEREF _Toc256000194 \h </w:instrText>
        </w:r>
        <w:r>
          <w:fldChar w:fldCharType="separate"/>
        </w:r>
        <w:r>
          <w:t>94</w:t>
        </w:r>
        <w:r>
          <w:fldChar w:fldCharType="end"/>
        </w:r>
      </w:hyperlink>
    </w:p>
    <w:p w:rsidR="002B3815" w:rsidRDefault="0099452B">
      <w:pPr>
        <w:pStyle w:val="TOC3"/>
        <w:rPr>
          <w:rFonts w:ascii="Calibri" w:hAnsi="Calibri"/>
          <w:noProof/>
          <w:sz w:val="22"/>
        </w:rPr>
      </w:pPr>
      <w:hyperlink w:anchor="_Toc256000195" w:history="1">
        <w:r>
          <w:rPr>
            <w:rStyle w:val="Hyperlink"/>
          </w:rPr>
          <w:t xml:space="preserve">7.a4) CEQ04-2A - До каква степен интервенциите по ПРСР са </w:t>
        </w:r>
        <w:r>
          <w:rPr>
            <w:rStyle w:val="Hyperlink"/>
          </w:rPr>
          <w:t>допринесли за подобряване на икономическите резултати, преструктурирането и модернизацията на подпомогнатите стопанства, в частност чрез увеличаване на тяхното участие на пазара и разнообразяването на селскостопанските дейности?</w:t>
        </w:r>
        <w:r>
          <w:tab/>
        </w:r>
        <w:r>
          <w:fldChar w:fldCharType="begin"/>
        </w:r>
        <w:r>
          <w:instrText xml:space="preserve"> PAGEREF _Toc256000195 \h </w:instrText>
        </w:r>
        <w:r>
          <w:fldChar w:fldCharType="separate"/>
        </w:r>
        <w:r>
          <w:t>9</w:t>
        </w:r>
        <w:r>
          <w:t>5</w:t>
        </w:r>
        <w:r>
          <w:fldChar w:fldCharType="end"/>
        </w:r>
      </w:hyperlink>
    </w:p>
    <w:p w:rsidR="002B3815" w:rsidRDefault="0099452B">
      <w:pPr>
        <w:pStyle w:val="TOC3"/>
        <w:rPr>
          <w:rFonts w:ascii="Calibri" w:hAnsi="Calibri"/>
          <w:noProof/>
          <w:sz w:val="22"/>
        </w:rPr>
      </w:pPr>
      <w:hyperlink w:anchor="_Toc256000196" w:history="1">
        <w:r>
          <w:rPr>
            <w:rStyle w:val="Hyperlink"/>
          </w:rPr>
          <w:t>7.a5) CEQ05-2B - До каква степен интервенциите по ПРСР са подпомогнали навлизането на земеделски стопани с подходяща квалификация в селскостопанския секто</w:t>
        </w:r>
        <w:r>
          <w:rPr>
            <w:rStyle w:val="Hyperlink"/>
          </w:rPr>
          <w:t>р, и по-специално приемствеността между поколенията?</w:t>
        </w:r>
        <w:r>
          <w:tab/>
        </w:r>
        <w:r>
          <w:fldChar w:fldCharType="begin"/>
        </w:r>
        <w:r>
          <w:instrText xml:space="preserve"> PAGEREF _Toc256000196 \h </w:instrText>
        </w:r>
        <w:r>
          <w:fldChar w:fldCharType="separate"/>
        </w:r>
        <w:r>
          <w:t>96</w:t>
        </w:r>
        <w:r>
          <w:fldChar w:fldCharType="end"/>
        </w:r>
      </w:hyperlink>
    </w:p>
    <w:p w:rsidR="002B3815" w:rsidRDefault="0099452B">
      <w:pPr>
        <w:pStyle w:val="TOC3"/>
        <w:rPr>
          <w:rFonts w:ascii="Calibri" w:hAnsi="Calibri"/>
          <w:noProof/>
          <w:sz w:val="22"/>
        </w:rPr>
      </w:pPr>
      <w:hyperlink w:anchor="_Toc256000197" w:history="1">
        <w:r>
          <w:rPr>
            <w:rStyle w:val="Hyperlink"/>
          </w:rPr>
          <w:t>7.a6) CEQ06-3A - До каква степен интервенциите по ПРСР са допринесли за по</w:t>
        </w:r>
        <w:r>
          <w:rPr>
            <w:rStyle w:val="Hyperlink"/>
          </w:rPr>
          <w:t>добряване на конкурентоспособността на подпомаганите първични производители чрез по-доброто им интегриране в селскостопанската и хранителната верига чрез схеми за качество, чрез добавяне на стойност към селскостопанските продукти, популяризиране на местнит</w:t>
        </w:r>
        <w:r>
          <w:rPr>
            <w:rStyle w:val="Hyperlink"/>
          </w:rPr>
          <w:t>е пазари и къси вериги на доставки, групи на производителите и организации и междубраншови организации?</w:t>
        </w:r>
        <w:r>
          <w:tab/>
        </w:r>
        <w:r>
          <w:fldChar w:fldCharType="begin"/>
        </w:r>
        <w:r>
          <w:instrText xml:space="preserve"> PAGEREF _Toc256000197 \h </w:instrText>
        </w:r>
        <w:r>
          <w:fldChar w:fldCharType="separate"/>
        </w:r>
        <w:r>
          <w:t>97</w:t>
        </w:r>
        <w:r>
          <w:fldChar w:fldCharType="end"/>
        </w:r>
      </w:hyperlink>
    </w:p>
    <w:p w:rsidR="002B3815" w:rsidRDefault="0099452B">
      <w:pPr>
        <w:pStyle w:val="TOC3"/>
        <w:rPr>
          <w:rFonts w:ascii="Calibri" w:hAnsi="Calibri"/>
          <w:noProof/>
          <w:sz w:val="22"/>
        </w:rPr>
      </w:pPr>
      <w:hyperlink w:anchor="_Toc256000198" w:history="1">
        <w:r>
          <w:rPr>
            <w:rStyle w:val="Hyperlink"/>
          </w:rPr>
          <w:t>7.a7) CEQ07-3B - До ка</w:t>
        </w:r>
        <w:r>
          <w:rPr>
            <w:rStyle w:val="Hyperlink"/>
          </w:rPr>
          <w:t>ква степен интервенциите по ПРСР са подпомогнали превенцията и управлението на риска на стопанствата?</w:t>
        </w:r>
        <w:r>
          <w:tab/>
        </w:r>
        <w:r>
          <w:fldChar w:fldCharType="begin"/>
        </w:r>
        <w:r>
          <w:instrText xml:space="preserve"> PAGEREF _Toc256000198 \h </w:instrText>
        </w:r>
        <w:r>
          <w:fldChar w:fldCharType="separate"/>
        </w:r>
        <w:r>
          <w:t>98</w:t>
        </w:r>
        <w:r>
          <w:fldChar w:fldCharType="end"/>
        </w:r>
      </w:hyperlink>
    </w:p>
    <w:p w:rsidR="002B3815" w:rsidRDefault="0099452B">
      <w:pPr>
        <w:pStyle w:val="TOC3"/>
        <w:rPr>
          <w:rFonts w:ascii="Calibri" w:hAnsi="Calibri"/>
          <w:noProof/>
          <w:sz w:val="22"/>
        </w:rPr>
      </w:pPr>
      <w:hyperlink w:anchor="_Toc256000199" w:history="1">
        <w:r>
          <w:rPr>
            <w:rStyle w:val="Hyperlink"/>
          </w:rPr>
          <w:t>7.a8) CEQ08-4A - До какв</w:t>
        </w:r>
        <w:r>
          <w:rPr>
            <w:rStyle w:val="Hyperlink"/>
          </w:rPr>
          <w:t>а степен интервенциите по ПРСР са подпомогнали възстановяването, запазването и укрепването на биологичното разнообразие, включително в зони по „Натура 2000“, области с природни или други специфични ограничения, както и земеделието с висока природна стойнос</w:t>
        </w:r>
        <w:r>
          <w:rPr>
            <w:rStyle w:val="Hyperlink"/>
          </w:rPr>
          <w:t>т, както и състоянието на европейския ландшафт?</w:t>
        </w:r>
        <w:r>
          <w:tab/>
        </w:r>
        <w:r>
          <w:fldChar w:fldCharType="begin"/>
        </w:r>
        <w:r>
          <w:instrText xml:space="preserve"> PAGEREF _Toc256000199 \h </w:instrText>
        </w:r>
        <w:r>
          <w:fldChar w:fldCharType="separate"/>
        </w:r>
        <w:r>
          <w:t>98</w:t>
        </w:r>
        <w:r>
          <w:fldChar w:fldCharType="end"/>
        </w:r>
      </w:hyperlink>
    </w:p>
    <w:p w:rsidR="002B3815" w:rsidRDefault="0099452B">
      <w:pPr>
        <w:pStyle w:val="TOC3"/>
        <w:rPr>
          <w:rFonts w:ascii="Calibri" w:hAnsi="Calibri"/>
          <w:noProof/>
          <w:sz w:val="22"/>
        </w:rPr>
      </w:pPr>
      <w:hyperlink w:anchor="_Toc256000200" w:history="1">
        <w:r>
          <w:rPr>
            <w:rStyle w:val="Hyperlink"/>
          </w:rPr>
          <w:t>7.a9) CEQ09-4B - До каква степен интервенциите по ПРСР са подпомогнали подобря</w:t>
        </w:r>
        <w:r>
          <w:rPr>
            <w:rStyle w:val="Hyperlink"/>
          </w:rPr>
          <w:t>ването на управлението на водите, включително управлението на торовете и пестицидите?</w:t>
        </w:r>
        <w:r>
          <w:tab/>
        </w:r>
        <w:r>
          <w:fldChar w:fldCharType="begin"/>
        </w:r>
        <w:r>
          <w:instrText xml:space="preserve"> PAGEREF _Toc256000200 \h </w:instrText>
        </w:r>
        <w:r>
          <w:fldChar w:fldCharType="separate"/>
        </w:r>
        <w:r>
          <w:t>99</w:t>
        </w:r>
        <w:r>
          <w:fldChar w:fldCharType="end"/>
        </w:r>
      </w:hyperlink>
    </w:p>
    <w:p w:rsidR="002B3815" w:rsidRDefault="0099452B">
      <w:pPr>
        <w:pStyle w:val="TOC3"/>
        <w:rPr>
          <w:rFonts w:ascii="Calibri" w:hAnsi="Calibri"/>
          <w:noProof/>
          <w:sz w:val="22"/>
        </w:rPr>
      </w:pPr>
      <w:hyperlink w:anchor="_Toc256000201" w:history="1">
        <w:r>
          <w:rPr>
            <w:rStyle w:val="Hyperlink"/>
          </w:rPr>
          <w:t>7.a10) CEQ10-4C - До каква степен интерв</w:t>
        </w:r>
        <w:r>
          <w:rPr>
            <w:rStyle w:val="Hyperlink"/>
          </w:rPr>
          <w:t>енциите по ПРСР са подпомогнали предотвратяването на почвената ерозия и подобряването на управлението на почвите?</w:t>
        </w:r>
        <w:r>
          <w:tab/>
        </w:r>
        <w:r>
          <w:fldChar w:fldCharType="begin"/>
        </w:r>
        <w:r>
          <w:instrText xml:space="preserve"> PAGEREF _Toc256000201 \h </w:instrText>
        </w:r>
        <w:r>
          <w:fldChar w:fldCharType="separate"/>
        </w:r>
        <w:r>
          <w:t>100</w:t>
        </w:r>
        <w:r>
          <w:fldChar w:fldCharType="end"/>
        </w:r>
      </w:hyperlink>
    </w:p>
    <w:p w:rsidR="002B3815" w:rsidRDefault="0099452B">
      <w:pPr>
        <w:pStyle w:val="TOC3"/>
        <w:rPr>
          <w:rFonts w:ascii="Calibri" w:hAnsi="Calibri"/>
          <w:noProof/>
          <w:sz w:val="22"/>
        </w:rPr>
      </w:pPr>
      <w:hyperlink w:anchor="_Toc256000202" w:history="1">
        <w:r>
          <w:rPr>
            <w:rStyle w:val="Hyperlink"/>
          </w:rPr>
          <w:t>7.a11) CEQ11</w:t>
        </w:r>
        <w:r>
          <w:rPr>
            <w:rStyle w:val="Hyperlink"/>
          </w:rPr>
          <w:t>-5A - До каква степен интервенциите по ПРСР са допринесли за повишаване на ефективността при потреблението на вода в селското стопанство?</w:t>
        </w:r>
        <w:r>
          <w:tab/>
        </w:r>
        <w:r>
          <w:fldChar w:fldCharType="begin"/>
        </w:r>
        <w:r>
          <w:instrText xml:space="preserve"> PAGEREF _Toc256000202 \h </w:instrText>
        </w:r>
        <w:r>
          <w:fldChar w:fldCharType="separate"/>
        </w:r>
        <w:r>
          <w:t>100</w:t>
        </w:r>
        <w:r>
          <w:fldChar w:fldCharType="end"/>
        </w:r>
      </w:hyperlink>
    </w:p>
    <w:p w:rsidR="002B3815" w:rsidRDefault="0099452B">
      <w:pPr>
        <w:pStyle w:val="TOC3"/>
        <w:rPr>
          <w:rFonts w:ascii="Calibri" w:hAnsi="Calibri"/>
          <w:noProof/>
          <w:sz w:val="22"/>
        </w:rPr>
      </w:pPr>
      <w:hyperlink w:anchor="_Toc256000203" w:history="1">
        <w:r>
          <w:rPr>
            <w:rStyle w:val="Hyperlink"/>
          </w:rPr>
          <w:t>7.a12) CEQ12-5B - До каква степен интервенциите по ПРСР са допринесли за повишаване на ефективността при потреблението на енергия в селското стопанство и преработката на храни?</w:t>
        </w:r>
        <w:r>
          <w:tab/>
        </w:r>
        <w:r>
          <w:fldChar w:fldCharType="begin"/>
        </w:r>
        <w:r>
          <w:instrText xml:space="preserve"> PAGEREF _Toc256000203 \h </w:instrText>
        </w:r>
        <w:r>
          <w:fldChar w:fldCharType="separate"/>
        </w:r>
        <w:r>
          <w:t>101</w:t>
        </w:r>
        <w:r>
          <w:fldChar w:fldCharType="end"/>
        </w:r>
      </w:hyperlink>
    </w:p>
    <w:p w:rsidR="002B3815" w:rsidRDefault="0099452B">
      <w:pPr>
        <w:pStyle w:val="TOC3"/>
        <w:rPr>
          <w:rFonts w:ascii="Calibri" w:hAnsi="Calibri"/>
          <w:noProof/>
          <w:sz w:val="22"/>
        </w:rPr>
      </w:pPr>
      <w:hyperlink w:anchor="_Toc256000204" w:history="1">
        <w:r>
          <w:rPr>
            <w:rStyle w:val="Hyperlink"/>
          </w:rPr>
          <w:t xml:space="preserve">7.a13) CEQ13-5C - До каква степен интервенциите по ПРСР са допринесли за доставките и използването на възобновяеми източници на енергия, на странични продукти, отпадъци, остатъци и други </w:t>
        </w:r>
        <w:r>
          <w:rPr>
            <w:rStyle w:val="Hyperlink"/>
          </w:rPr>
          <w:t>нехранителни суровини за целите на биоикономиката?</w:t>
        </w:r>
        <w:r>
          <w:tab/>
        </w:r>
        <w:r>
          <w:fldChar w:fldCharType="begin"/>
        </w:r>
        <w:r>
          <w:instrText xml:space="preserve"> PAGEREF _Toc256000204 \h </w:instrText>
        </w:r>
        <w:r>
          <w:fldChar w:fldCharType="separate"/>
        </w:r>
        <w:r>
          <w:t>102</w:t>
        </w:r>
        <w:r>
          <w:fldChar w:fldCharType="end"/>
        </w:r>
      </w:hyperlink>
    </w:p>
    <w:p w:rsidR="002B3815" w:rsidRDefault="0099452B">
      <w:pPr>
        <w:pStyle w:val="TOC3"/>
        <w:rPr>
          <w:rFonts w:ascii="Calibri" w:hAnsi="Calibri"/>
          <w:noProof/>
          <w:sz w:val="22"/>
        </w:rPr>
      </w:pPr>
      <w:hyperlink w:anchor="_Toc256000205" w:history="1">
        <w:r>
          <w:rPr>
            <w:rStyle w:val="Hyperlink"/>
          </w:rPr>
          <w:t>7.a14) CEQ14-5D - До каква степен интервенциите по ПРСР са допринесли за н</w:t>
        </w:r>
        <w:r>
          <w:rPr>
            <w:rStyle w:val="Hyperlink"/>
          </w:rPr>
          <w:t>амаляване на емисиите на парникови газове и на амоняк от селското стопанство?</w:t>
        </w:r>
        <w:r>
          <w:tab/>
        </w:r>
        <w:r>
          <w:fldChar w:fldCharType="begin"/>
        </w:r>
        <w:r>
          <w:instrText xml:space="preserve"> PAGEREF _Toc256000205 \h </w:instrText>
        </w:r>
        <w:r>
          <w:fldChar w:fldCharType="separate"/>
        </w:r>
        <w:r>
          <w:t>102</w:t>
        </w:r>
        <w:r>
          <w:fldChar w:fldCharType="end"/>
        </w:r>
      </w:hyperlink>
    </w:p>
    <w:p w:rsidR="002B3815" w:rsidRDefault="0099452B">
      <w:pPr>
        <w:pStyle w:val="TOC3"/>
        <w:rPr>
          <w:rFonts w:ascii="Calibri" w:hAnsi="Calibri"/>
          <w:noProof/>
          <w:sz w:val="22"/>
        </w:rPr>
      </w:pPr>
      <w:hyperlink w:anchor="_Toc256000206" w:history="1">
        <w:r>
          <w:rPr>
            <w:rStyle w:val="Hyperlink"/>
          </w:rPr>
          <w:t xml:space="preserve">7.a15) CEQ15-5E - До каква степен интервенциите </w:t>
        </w:r>
        <w:r>
          <w:rPr>
            <w:rStyle w:val="Hyperlink"/>
          </w:rPr>
          <w:t>по ПРСР са подпомогнали съхраняването и поглъщането на въглерода в секторите на селското и горското стопанство?</w:t>
        </w:r>
        <w:r>
          <w:tab/>
        </w:r>
        <w:r>
          <w:fldChar w:fldCharType="begin"/>
        </w:r>
        <w:r>
          <w:instrText xml:space="preserve"> PAGEREF _Toc256000206 \h </w:instrText>
        </w:r>
        <w:r>
          <w:fldChar w:fldCharType="separate"/>
        </w:r>
        <w:r>
          <w:t>103</w:t>
        </w:r>
        <w:r>
          <w:fldChar w:fldCharType="end"/>
        </w:r>
      </w:hyperlink>
    </w:p>
    <w:p w:rsidR="002B3815" w:rsidRDefault="0099452B">
      <w:pPr>
        <w:pStyle w:val="TOC3"/>
        <w:rPr>
          <w:rFonts w:ascii="Calibri" w:hAnsi="Calibri"/>
          <w:noProof/>
          <w:sz w:val="22"/>
        </w:rPr>
      </w:pPr>
      <w:hyperlink w:anchor="_Toc256000207" w:history="1">
        <w:r>
          <w:rPr>
            <w:rStyle w:val="Hyperlink"/>
          </w:rPr>
          <w:t>7.a16) CEQ16-6</w:t>
        </w:r>
        <w:r>
          <w:rPr>
            <w:rStyle w:val="Hyperlink"/>
          </w:rPr>
          <w:t>A - До каква степен интервенциите по ПРСР са подпомогнали диверсификацията, създаването и развитието на малки предприятия и създаване на работни места?</w:t>
        </w:r>
        <w:r>
          <w:tab/>
        </w:r>
        <w:r>
          <w:fldChar w:fldCharType="begin"/>
        </w:r>
        <w:r>
          <w:instrText xml:space="preserve"> PAGEREF _Toc256000207 \h </w:instrText>
        </w:r>
        <w:r>
          <w:fldChar w:fldCharType="separate"/>
        </w:r>
        <w:r>
          <w:t>103</w:t>
        </w:r>
        <w:r>
          <w:fldChar w:fldCharType="end"/>
        </w:r>
      </w:hyperlink>
    </w:p>
    <w:p w:rsidR="002B3815" w:rsidRDefault="0099452B">
      <w:pPr>
        <w:pStyle w:val="TOC3"/>
        <w:rPr>
          <w:rFonts w:ascii="Calibri" w:hAnsi="Calibri"/>
          <w:noProof/>
          <w:sz w:val="22"/>
        </w:rPr>
      </w:pPr>
      <w:hyperlink w:anchor="_Toc256000208" w:history="1">
        <w:r>
          <w:rPr>
            <w:rStyle w:val="Hyperlink"/>
          </w:rPr>
          <w:t>7.a17) CEQ17-6B - До каква степен интервенциите по ПРСР са подпомогнали местното развитие в селските райони?</w:t>
        </w:r>
        <w:r>
          <w:tab/>
        </w:r>
        <w:r>
          <w:fldChar w:fldCharType="begin"/>
        </w:r>
        <w:r>
          <w:instrText xml:space="preserve"> PAGEREF _Toc256000208 \h </w:instrText>
        </w:r>
        <w:r>
          <w:fldChar w:fldCharType="separate"/>
        </w:r>
        <w:r>
          <w:t>103</w:t>
        </w:r>
        <w:r>
          <w:fldChar w:fldCharType="end"/>
        </w:r>
      </w:hyperlink>
    </w:p>
    <w:p w:rsidR="002B3815" w:rsidRDefault="0099452B">
      <w:pPr>
        <w:pStyle w:val="TOC3"/>
        <w:rPr>
          <w:rFonts w:ascii="Calibri" w:hAnsi="Calibri"/>
          <w:noProof/>
          <w:sz w:val="22"/>
        </w:rPr>
      </w:pPr>
      <w:hyperlink w:anchor="_Toc256000209" w:history="1">
        <w:r>
          <w:rPr>
            <w:rStyle w:val="Hyperlink"/>
          </w:rPr>
          <w:t>7.a18) CEQ18-6C - До каква степен интервенциите по ПРСР са подобрили достъпа, използването и качеството на информационни и комуникационни технологии (ИКТ) в селските райони?</w:t>
        </w:r>
        <w:r>
          <w:tab/>
        </w:r>
        <w:r>
          <w:fldChar w:fldCharType="begin"/>
        </w:r>
        <w:r>
          <w:instrText xml:space="preserve"> PAGEREF _Toc256000209 \h </w:instrText>
        </w:r>
        <w:r>
          <w:fldChar w:fldCharType="separate"/>
        </w:r>
        <w:r>
          <w:t>105</w:t>
        </w:r>
        <w:r>
          <w:fldChar w:fldCharType="end"/>
        </w:r>
      </w:hyperlink>
    </w:p>
    <w:p w:rsidR="002B3815" w:rsidRDefault="0099452B">
      <w:pPr>
        <w:pStyle w:val="TOC3"/>
        <w:rPr>
          <w:rFonts w:ascii="Calibri" w:hAnsi="Calibri"/>
          <w:noProof/>
          <w:sz w:val="22"/>
        </w:rPr>
      </w:pPr>
      <w:hyperlink w:anchor="_Toc256000210" w:history="1">
        <w:r>
          <w:rPr>
            <w:rStyle w:val="Hyperlink"/>
          </w:rPr>
          <w:t>7.a19) CEQ19-PE - В каква степен полезните взаимодействия между приоритетите и областите с поставен акцент са повишили ефективността на ПРСР?</w:t>
        </w:r>
        <w:r>
          <w:tab/>
        </w:r>
        <w:r>
          <w:fldChar w:fldCharType="begin"/>
        </w:r>
        <w:r>
          <w:instrText xml:space="preserve"> PAGEREF _Toc256000210 \h </w:instrText>
        </w:r>
        <w:r>
          <w:fldChar w:fldCharType="separate"/>
        </w:r>
        <w:r>
          <w:t>105</w:t>
        </w:r>
        <w:r>
          <w:fldChar w:fldCharType="end"/>
        </w:r>
      </w:hyperlink>
    </w:p>
    <w:p w:rsidR="002B3815" w:rsidRDefault="0099452B">
      <w:pPr>
        <w:pStyle w:val="TOC3"/>
        <w:rPr>
          <w:rFonts w:ascii="Calibri" w:hAnsi="Calibri"/>
          <w:noProof/>
          <w:sz w:val="22"/>
        </w:rPr>
      </w:pPr>
      <w:hyperlink w:anchor="_Toc256000211" w:history="1">
        <w:r>
          <w:rPr>
            <w:rStyle w:val="Hyperlink"/>
          </w:rPr>
          <w:t>7.a20) CEQ20-TA - До каква степен техническата помощ е допринесла за постигането на целите, определени в член 59, параграф 1 от Регламент (ЕС) № 1303/2013 и в</w:t>
        </w:r>
        <w:r>
          <w:rPr>
            <w:rStyle w:val="Hyperlink"/>
          </w:rPr>
          <w:t xml:space="preserve"> член 51, параграф 2 от Регламент (ЕС) № 1305/2013?</w:t>
        </w:r>
        <w:r>
          <w:tab/>
        </w:r>
        <w:r>
          <w:fldChar w:fldCharType="begin"/>
        </w:r>
        <w:r>
          <w:instrText xml:space="preserve"> PAGEREF _Toc256000211 \h </w:instrText>
        </w:r>
        <w:r>
          <w:fldChar w:fldCharType="separate"/>
        </w:r>
        <w:r>
          <w:t>106</w:t>
        </w:r>
        <w:r>
          <w:fldChar w:fldCharType="end"/>
        </w:r>
      </w:hyperlink>
    </w:p>
    <w:p w:rsidR="002B3815" w:rsidRDefault="0099452B">
      <w:pPr>
        <w:pStyle w:val="TOC3"/>
        <w:rPr>
          <w:rFonts w:ascii="Calibri" w:hAnsi="Calibri"/>
          <w:noProof/>
          <w:sz w:val="22"/>
        </w:rPr>
      </w:pPr>
      <w:hyperlink w:anchor="_Toc256000212" w:history="1">
        <w:r>
          <w:rPr>
            <w:rStyle w:val="Hyperlink"/>
          </w:rPr>
          <w:t>7.a21) CEQ21-RN - До каква степен националната мрежа за селските райони до</w:t>
        </w:r>
        <w:r>
          <w:rPr>
            <w:rStyle w:val="Hyperlink"/>
          </w:rPr>
          <w:t>принесла за постигането на целите, определени в член 54, параграф 2 от Регламент (ЕС) № 1305/2013?</w:t>
        </w:r>
        <w:r>
          <w:tab/>
        </w:r>
        <w:r>
          <w:fldChar w:fldCharType="begin"/>
        </w:r>
        <w:r>
          <w:instrText xml:space="preserve"> PAGEREF _Toc256000212 \h </w:instrText>
        </w:r>
        <w:r>
          <w:fldChar w:fldCharType="separate"/>
        </w:r>
        <w:r>
          <w:t>109</w:t>
        </w:r>
        <w:r>
          <w:fldChar w:fldCharType="end"/>
        </w:r>
      </w:hyperlink>
    </w:p>
    <w:p w:rsidR="002B3815" w:rsidRDefault="0099452B">
      <w:pPr>
        <w:pStyle w:val="TOC3"/>
        <w:rPr>
          <w:rFonts w:ascii="Calibri" w:hAnsi="Calibri"/>
          <w:noProof/>
          <w:sz w:val="22"/>
        </w:rPr>
      </w:pPr>
      <w:hyperlink w:anchor="_Toc256000213" w:history="1">
        <w:r>
          <w:rPr>
            <w:rStyle w:val="Hyperlink"/>
          </w:rPr>
          <w:t xml:space="preserve">7.a22) CEQ22-EM - To what </w:t>
        </w:r>
        <w:r>
          <w:rPr>
            <w:rStyle w:val="Hyperlink"/>
          </w:rPr>
          <w:t>extent has the RDP contributed to achieving the EU 2020 headline target of raising the employment rate of the population aged 20 to 64 to at least 75 %?</w:t>
        </w:r>
        <w:r>
          <w:tab/>
        </w:r>
        <w:r>
          <w:fldChar w:fldCharType="begin"/>
        </w:r>
        <w:r>
          <w:instrText xml:space="preserve"> PAGEREF _Toc256000213 \h </w:instrText>
        </w:r>
        <w:r>
          <w:fldChar w:fldCharType="separate"/>
        </w:r>
        <w:r>
          <w:t>110</w:t>
        </w:r>
        <w:r>
          <w:fldChar w:fldCharType="end"/>
        </w:r>
      </w:hyperlink>
    </w:p>
    <w:p w:rsidR="002B3815" w:rsidRDefault="0099452B">
      <w:pPr>
        <w:pStyle w:val="TOC3"/>
        <w:rPr>
          <w:rFonts w:ascii="Calibri" w:hAnsi="Calibri"/>
          <w:noProof/>
          <w:sz w:val="22"/>
        </w:rPr>
      </w:pPr>
      <w:hyperlink w:anchor="_Toc256000214" w:history="1">
        <w:r>
          <w:rPr>
            <w:rStyle w:val="Hyperlink"/>
          </w:rPr>
          <w:t>7.a23) CEQ23-RE - To what extent has the RDP contributed to achieving the EU2020 headline target of investing 3 % of EU’s GDP in research and development and innovation?</w:t>
        </w:r>
        <w:r>
          <w:tab/>
        </w:r>
        <w:r>
          <w:fldChar w:fldCharType="begin"/>
        </w:r>
        <w:r>
          <w:instrText xml:space="preserve"> PAGEREF _Toc256000214 \h </w:instrText>
        </w:r>
        <w:r>
          <w:fldChar w:fldCharType="separate"/>
        </w:r>
        <w:r>
          <w:t>110</w:t>
        </w:r>
        <w:r>
          <w:fldChar w:fldCharType="end"/>
        </w:r>
      </w:hyperlink>
    </w:p>
    <w:p w:rsidR="002B3815" w:rsidRDefault="0099452B">
      <w:pPr>
        <w:pStyle w:val="TOC3"/>
        <w:rPr>
          <w:rFonts w:ascii="Calibri" w:hAnsi="Calibri"/>
          <w:noProof/>
          <w:sz w:val="22"/>
        </w:rPr>
      </w:pPr>
      <w:hyperlink w:anchor="_Toc256000215" w:history="1">
        <w:r>
          <w:rPr>
            <w:rStyle w:val="Hyperlink"/>
          </w:rPr>
          <w:t>7.a24) CEQ24-CL - To what extent has the RDP contributed to climate change mitigation and adaptation and to achieving the EU 2020 headline target of reducing greenhouse gas emissions b</w:t>
        </w:r>
        <w:r>
          <w:rPr>
            <w:rStyle w:val="Hyperlink"/>
          </w:rPr>
          <w:t>y at least 20 % compared to 1990 levels, or by 30 % if the conditions are right, to increasing the share of renewable energy in final energy consumption to 20 %, and achieving 20 % increase in energy efficiency?</w:t>
        </w:r>
        <w:r>
          <w:tab/>
        </w:r>
        <w:r>
          <w:fldChar w:fldCharType="begin"/>
        </w:r>
        <w:r>
          <w:instrText xml:space="preserve"> PAGEREF _Toc256000215 \h </w:instrText>
        </w:r>
        <w:r>
          <w:fldChar w:fldCharType="separate"/>
        </w:r>
        <w:r>
          <w:t>111</w:t>
        </w:r>
        <w:r>
          <w:fldChar w:fldCharType="end"/>
        </w:r>
      </w:hyperlink>
    </w:p>
    <w:p w:rsidR="002B3815" w:rsidRDefault="0099452B">
      <w:pPr>
        <w:pStyle w:val="TOC3"/>
        <w:rPr>
          <w:rFonts w:ascii="Calibri" w:hAnsi="Calibri"/>
          <w:noProof/>
          <w:sz w:val="22"/>
        </w:rPr>
      </w:pPr>
      <w:hyperlink w:anchor="_Toc256000216" w:history="1">
        <w:r>
          <w:rPr>
            <w:rStyle w:val="Hyperlink"/>
          </w:rPr>
          <w:t>7.a25) CEQ25-PO - To what extent has the RDP contributed to achieving the EU 2020 headline target of reducing the number of Europeans living below the national poverty li</w:t>
        </w:r>
        <w:r>
          <w:rPr>
            <w:rStyle w:val="Hyperlink"/>
          </w:rPr>
          <w:t>ne?</w:t>
        </w:r>
        <w:r>
          <w:tab/>
        </w:r>
        <w:r>
          <w:fldChar w:fldCharType="begin"/>
        </w:r>
        <w:r>
          <w:instrText xml:space="preserve"> PAGEREF _Toc256000216 \h </w:instrText>
        </w:r>
        <w:r>
          <w:fldChar w:fldCharType="separate"/>
        </w:r>
        <w:r>
          <w:t>114</w:t>
        </w:r>
        <w:r>
          <w:fldChar w:fldCharType="end"/>
        </w:r>
      </w:hyperlink>
    </w:p>
    <w:p w:rsidR="002B3815" w:rsidRDefault="0099452B">
      <w:pPr>
        <w:pStyle w:val="TOC3"/>
        <w:rPr>
          <w:rFonts w:ascii="Calibri" w:hAnsi="Calibri"/>
          <w:noProof/>
          <w:sz w:val="22"/>
        </w:rPr>
      </w:pPr>
      <w:hyperlink w:anchor="_Toc256000217" w:history="1">
        <w:r>
          <w:rPr>
            <w:rStyle w:val="Hyperlink"/>
          </w:rPr>
          <w:t>7.a26) CEQ26-BI - To what extent has the RDP contributed to improving the environment and to achieving the EU biodiversity</w:t>
        </w:r>
        <w:r>
          <w:rPr>
            <w:rStyle w:val="Hyperlink"/>
          </w:rPr>
          <w:t xml:space="preserve"> strategy target of halting the loss of biodiversity and the degradation of ecosystem services, and to restore them?</w:t>
        </w:r>
        <w:r>
          <w:tab/>
        </w:r>
        <w:r>
          <w:fldChar w:fldCharType="begin"/>
        </w:r>
        <w:r>
          <w:instrText xml:space="preserve"> PAGEREF _Toc256000217 \h </w:instrText>
        </w:r>
        <w:r>
          <w:fldChar w:fldCharType="separate"/>
        </w:r>
        <w:r>
          <w:t>116</w:t>
        </w:r>
        <w:r>
          <w:fldChar w:fldCharType="end"/>
        </w:r>
      </w:hyperlink>
    </w:p>
    <w:p w:rsidR="002B3815" w:rsidRDefault="0099452B">
      <w:pPr>
        <w:pStyle w:val="TOC3"/>
        <w:rPr>
          <w:rFonts w:ascii="Calibri" w:hAnsi="Calibri"/>
          <w:noProof/>
          <w:sz w:val="22"/>
        </w:rPr>
      </w:pPr>
      <w:hyperlink w:anchor="_Toc256000218" w:history="1">
        <w:r>
          <w:rPr>
            <w:rStyle w:val="Hyperlink"/>
          </w:rPr>
          <w:t>7.a27) C</w:t>
        </w:r>
        <w:r>
          <w:rPr>
            <w:rStyle w:val="Hyperlink"/>
          </w:rPr>
          <w:t>EQ27-CO - To what extent has the RDP contributed to the CAP objective of fostering the competitiveness of agriculture?</w:t>
        </w:r>
        <w:r>
          <w:tab/>
        </w:r>
        <w:r>
          <w:fldChar w:fldCharType="begin"/>
        </w:r>
        <w:r>
          <w:instrText xml:space="preserve"> PAGEREF _Toc256000218 \h </w:instrText>
        </w:r>
        <w:r>
          <w:fldChar w:fldCharType="separate"/>
        </w:r>
        <w:r>
          <w:t>123</w:t>
        </w:r>
        <w:r>
          <w:fldChar w:fldCharType="end"/>
        </w:r>
      </w:hyperlink>
    </w:p>
    <w:p w:rsidR="002B3815" w:rsidRDefault="0099452B">
      <w:pPr>
        <w:pStyle w:val="TOC3"/>
        <w:rPr>
          <w:rFonts w:ascii="Calibri" w:hAnsi="Calibri"/>
          <w:noProof/>
          <w:sz w:val="22"/>
        </w:rPr>
      </w:pPr>
      <w:hyperlink w:anchor="_Toc256000219" w:history="1">
        <w:r>
          <w:rPr>
            <w:rStyle w:val="Hyperlink"/>
          </w:rPr>
          <w:t>7.a28)</w:t>
        </w:r>
        <w:r>
          <w:rPr>
            <w:rStyle w:val="Hyperlink"/>
          </w:rPr>
          <w:t xml:space="preserve"> CEQ28-SU - To what extent has the RDP contributed to the CAP objective of ensuring sustainable management of natural resources and climate action?</w:t>
        </w:r>
        <w:r>
          <w:tab/>
        </w:r>
        <w:r>
          <w:fldChar w:fldCharType="begin"/>
        </w:r>
        <w:r>
          <w:instrText xml:space="preserve"> PAGEREF _Toc256000219 \h </w:instrText>
        </w:r>
        <w:r>
          <w:fldChar w:fldCharType="separate"/>
        </w:r>
        <w:r>
          <w:t>127</w:t>
        </w:r>
        <w:r>
          <w:fldChar w:fldCharType="end"/>
        </w:r>
      </w:hyperlink>
    </w:p>
    <w:p w:rsidR="002B3815" w:rsidRDefault="0099452B">
      <w:pPr>
        <w:pStyle w:val="TOC3"/>
        <w:rPr>
          <w:rFonts w:ascii="Calibri" w:hAnsi="Calibri"/>
          <w:noProof/>
          <w:sz w:val="22"/>
        </w:rPr>
      </w:pPr>
      <w:hyperlink w:anchor="_Toc256000220" w:history="1">
        <w:r>
          <w:rPr>
            <w:rStyle w:val="Hyperlink"/>
          </w:rPr>
          <w:t>7.a29) CEQ29-DE - To what extent has the RDP contributed to the CAP objective of achieving a balanced territorial development of rural economies and communities including the creation and maintenance of employment?</w:t>
        </w:r>
        <w:r>
          <w:tab/>
        </w:r>
        <w:r>
          <w:fldChar w:fldCharType="begin"/>
        </w:r>
        <w:r>
          <w:instrText xml:space="preserve"> PAGEREF _Toc256000</w:instrText>
        </w:r>
        <w:r>
          <w:instrText xml:space="preserve">220 \h </w:instrText>
        </w:r>
        <w:r>
          <w:fldChar w:fldCharType="separate"/>
        </w:r>
        <w:r>
          <w:t>129</w:t>
        </w:r>
        <w:r>
          <w:fldChar w:fldCharType="end"/>
        </w:r>
      </w:hyperlink>
    </w:p>
    <w:p w:rsidR="002B3815" w:rsidRDefault="0099452B">
      <w:pPr>
        <w:pStyle w:val="TOC3"/>
        <w:rPr>
          <w:rFonts w:ascii="Calibri" w:hAnsi="Calibri"/>
          <w:noProof/>
          <w:sz w:val="22"/>
        </w:rPr>
      </w:pPr>
      <w:hyperlink w:anchor="_Toc256000221" w:history="1">
        <w:r>
          <w:rPr>
            <w:rStyle w:val="Hyperlink"/>
          </w:rPr>
          <w:t>7.a30) CEQ30-IN - To what extent has the RDP contributed to fostering innovation?</w:t>
        </w:r>
        <w:r>
          <w:tab/>
        </w:r>
        <w:r>
          <w:fldChar w:fldCharType="begin"/>
        </w:r>
        <w:r>
          <w:instrText xml:space="preserve"> PAGEREF _Toc256000221 \h </w:instrText>
        </w:r>
        <w:r>
          <w:fldChar w:fldCharType="separate"/>
        </w:r>
        <w:r>
          <w:t>130</w:t>
        </w:r>
        <w:r>
          <w:fldChar w:fldCharType="end"/>
        </w:r>
      </w:hyperlink>
    </w:p>
    <w:p w:rsidR="002B3815" w:rsidRDefault="0099452B">
      <w:pPr>
        <w:pStyle w:val="TOC3"/>
        <w:rPr>
          <w:rFonts w:ascii="Calibri" w:hAnsi="Calibri"/>
          <w:noProof/>
          <w:sz w:val="22"/>
        </w:rPr>
      </w:pPr>
      <w:hyperlink w:anchor="_Toc256000222" w:history="1">
        <w:r>
          <w:rPr>
            <w:rStyle w:val="Hyperlink"/>
          </w:rPr>
          <w:t>7.a31) PSEQ01-FA - Специфичен за програмата въпрос за оценка, свързан със специфична за програмата акцентирана област</w:t>
        </w:r>
        <w:r>
          <w:tab/>
        </w:r>
        <w:r>
          <w:fldChar w:fldCharType="begin"/>
        </w:r>
        <w:r>
          <w:instrText xml:space="preserve"> PAGEREF _Toc256000222 \h </w:instrText>
        </w:r>
        <w:r>
          <w:fldChar w:fldCharType="separate"/>
        </w:r>
        <w:r>
          <w:t>131</w:t>
        </w:r>
        <w:r>
          <w:fldChar w:fldCharType="end"/>
        </w:r>
      </w:hyperlink>
    </w:p>
    <w:p w:rsidR="002B3815" w:rsidRDefault="0099452B">
      <w:pPr>
        <w:pStyle w:val="TOC3"/>
        <w:rPr>
          <w:rFonts w:ascii="Calibri" w:hAnsi="Calibri"/>
          <w:noProof/>
          <w:sz w:val="22"/>
        </w:rPr>
      </w:pPr>
      <w:hyperlink w:anchor="_Toc256000223" w:history="1">
        <w:r>
          <w:rPr>
            <w:rStyle w:val="Hyperlink"/>
          </w:rPr>
          <w:t>7.a32) PSEQ02-FA - Специфичен за програмата въпрос за оценка, свързан със специфична за програмата акцентирана област</w:t>
        </w:r>
        <w:r>
          <w:tab/>
        </w:r>
        <w:r>
          <w:fldChar w:fldCharType="begin"/>
        </w:r>
        <w:r>
          <w:instrText xml:space="preserve"> PAGEREF _Toc256000223 \h </w:instrText>
        </w:r>
        <w:r>
          <w:fldChar w:fldCharType="separate"/>
        </w:r>
        <w:r>
          <w:t>131</w:t>
        </w:r>
        <w:r>
          <w:fldChar w:fldCharType="end"/>
        </w:r>
      </w:hyperlink>
    </w:p>
    <w:p w:rsidR="002B3815" w:rsidRDefault="0099452B">
      <w:pPr>
        <w:pStyle w:val="TOC3"/>
        <w:rPr>
          <w:rFonts w:ascii="Calibri" w:hAnsi="Calibri"/>
          <w:noProof/>
          <w:sz w:val="22"/>
        </w:rPr>
      </w:pPr>
      <w:hyperlink w:anchor="_Toc256000224" w:history="1">
        <w:r>
          <w:rPr>
            <w:rStyle w:val="Hyperlink"/>
          </w:rPr>
          <w:t>7.a33) PSEQ03-FA - Специфичен за програмата въпрос за оценка, свързан със специфична за програмата акцентирана област</w:t>
        </w:r>
        <w:r>
          <w:tab/>
        </w:r>
        <w:r>
          <w:fldChar w:fldCharType="begin"/>
        </w:r>
        <w:r>
          <w:instrText xml:space="preserve"> PAGEREF _Toc256000224 \h </w:instrText>
        </w:r>
        <w:r>
          <w:fldChar w:fldCharType="separate"/>
        </w:r>
        <w:r>
          <w:t>131</w:t>
        </w:r>
        <w:r>
          <w:fldChar w:fldCharType="end"/>
        </w:r>
      </w:hyperlink>
    </w:p>
    <w:p w:rsidR="002B3815" w:rsidRDefault="0099452B">
      <w:pPr>
        <w:pStyle w:val="TOC3"/>
        <w:rPr>
          <w:rFonts w:ascii="Calibri" w:hAnsi="Calibri"/>
          <w:noProof/>
          <w:sz w:val="22"/>
        </w:rPr>
      </w:pPr>
      <w:hyperlink w:anchor="_Toc256000225" w:history="1">
        <w:r>
          <w:rPr>
            <w:rStyle w:val="Hyperlink"/>
          </w:rPr>
          <w:t>7.a34) PSEQ04-FA - Специфичен за програмата въпрос за оценка, свързан със специфична за програмата акцентирана област</w:t>
        </w:r>
        <w:r>
          <w:tab/>
        </w:r>
        <w:r>
          <w:fldChar w:fldCharType="begin"/>
        </w:r>
        <w:r>
          <w:instrText xml:space="preserve"> PAGEREF _Toc256000225 \h </w:instrText>
        </w:r>
        <w:r>
          <w:fldChar w:fldCharType="separate"/>
        </w:r>
        <w:r>
          <w:t>131</w:t>
        </w:r>
        <w:r>
          <w:fldChar w:fldCharType="end"/>
        </w:r>
      </w:hyperlink>
    </w:p>
    <w:p w:rsidR="002B3815" w:rsidRDefault="0099452B">
      <w:pPr>
        <w:pStyle w:val="TOC3"/>
        <w:rPr>
          <w:rFonts w:ascii="Calibri" w:hAnsi="Calibri"/>
          <w:noProof/>
          <w:sz w:val="22"/>
        </w:rPr>
      </w:pPr>
      <w:hyperlink w:anchor="_Toc256000226" w:history="1">
        <w:r>
          <w:rPr>
            <w:rStyle w:val="Hyperlink"/>
          </w:rPr>
          <w:t>7.a35) PSEQ05-FA - Специфичен за програмата въпрос за оценка, свързан със специфична за програмата акцентирана област</w:t>
        </w:r>
        <w:r>
          <w:tab/>
        </w:r>
        <w:r>
          <w:fldChar w:fldCharType="begin"/>
        </w:r>
        <w:r>
          <w:instrText xml:space="preserve"> PAGEREF _Toc256000226 \h </w:instrText>
        </w:r>
        <w:r>
          <w:fldChar w:fldCharType="separate"/>
        </w:r>
        <w:r>
          <w:t>132</w:t>
        </w:r>
        <w:r>
          <w:fldChar w:fldCharType="end"/>
        </w:r>
      </w:hyperlink>
    </w:p>
    <w:p w:rsidR="002B3815" w:rsidRDefault="0099452B">
      <w:pPr>
        <w:pStyle w:val="TOC3"/>
        <w:rPr>
          <w:rFonts w:ascii="Calibri" w:hAnsi="Calibri"/>
          <w:noProof/>
          <w:sz w:val="22"/>
        </w:rPr>
      </w:pPr>
      <w:hyperlink w:anchor="_Toc256000227" w:history="1">
        <w:r>
          <w:rPr>
            <w:rStyle w:val="Hyperlink"/>
          </w:rPr>
          <w:t>7.a36) PSEQ01-TOPIC - Специфичен за програмата въпрос за оценка, свързан със специфична за програмата тема на оценка</w:t>
        </w:r>
        <w:r>
          <w:tab/>
        </w:r>
        <w:r>
          <w:fldChar w:fldCharType="begin"/>
        </w:r>
        <w:r>
          <w:instrText xml:space="preserve"> PAGEREF _Toc256000227 \h </w:instrText>
        </w:r>
        <w:r>
          <w:fldChar w:fldCharType="separate"/>
        </w:r>
        <w:r>
          <w:t>132</w:t>
        </w:r>
        <w:r>
          <w:fldChar w:fldCharType="end"/>
        </w:r>
      </w:hyperlink>
    </w:p>
    <w:p w:rsidR="002B3815" w:rsidRDefault="0099452B">
      <w:pPr>
        <w:pStyle w:val="TOC3"/>
        <w:rPr>
          <w:rFonts w:ascii="Calibri" w:hAnsi="Calibri"/>
          <w:noProof/>
          <w:sz w:val="22"/>
        </w:rPr>
      </w:pPr>
      <w:hyperlink w:anchor="_Toc256000228" w:history="1">
        <w:r>
          <w:rPr>
            <w:rStyle w:val="Hyperlink"/>
          </w:rPr>
          <w:t>7.a37) PSEQ02-TOPIC - Специфичен за програмата въпрос за оценка, свързан със специфична за програмата тема на оценка</w:t>
        </w:r>
        <w:r>
          <w:tab/>
        </w:r>
        <w:r>
          <w:fldChar w:fldCharType="begin"/>
        </w:r>
        <w:r>
          <w:instrText xml:space="preserve"> PAGEREF _Toc256000228 \h </w:instrText>
        </w:r>
        <w:r>
          <w:fldChar w:fldCharType="separate"/>
        </w:r>
        <w:r>
          <w:t>132</w:t>
        </w:r>
        <w:r>
          <w:fldChar w:fldCharType="end"/>
        </w:r>
      </w:hyperlink>
    </w:p>
    <w:p w:rsidR="002B3815" w:rsidRDefault="0099452B">
      <w:pPr>
        <w:pStyle w:val="TOC3"/>
        <w:rPr>
          <w:rFonts w:ascii="Calibri" w:hAnsi="Calibri"/>
          <w:noProof/>
          <w:sz w:val="22"/>
        </w:rPr>
      </w:pPr>
      <w:hyperlink w:anchor="_Toc256000229" w:history="1">
        <w:r>
          <w:rPr>
            <w:rStyle w:val="Hyperlink"/>
          </w:rPr>
          <w:t>7.a38) PSEQ03-TOPIC - Специфичен за програмата въпрос за оценка, свързан със специфична за програмата тема на оценка</w:t>
        </w:r>
        <w:r>
          <w:tab/>
        </w:r>
        <w:r>
          <w:fldChar w:fldCharType="begin"/>
        </w:r>
        <w:r>
          <w:instrText xml:space="preserve"> PAGEREF _Toc256000229 \h </w:instrText>
        </w:r>
        <w:r>
          <w:fldChar w:fldCharType="separate"/>
        </w:r>
        <w:r>
          <w:t>132</w:t>
        </w:r>
        <w:r>
          <w:fldChar w:fldCharType="end"/>
        </w:r>
      </w:hyperlink>
    </w:p>
    <w:p w:rsidR="002B3815" w:rsidRDefault="0099452B">
      <w:pPr>
        <w:pStyle w:val="TOC3"/>
        <w:rPr>
          <w:rFonts w:ascii="Calibri" w:hAnsi="Calibri"/>
          <w:noProof/>
          <w:sz w:val="22"/>
        </w:rPr>
      </w:pPr>
      <w:hyperlink w:anchor="_Toc256000230" w:history="1">
        <w:r>
          <w:rPr>
            <w:rStyle w:val="Hyperlink"/>
          </w:rPr>
          <w:t>7.a39) PSEQ04-TOPIC - Специфичен за програмата въпрос за оценка, свързан със специфична за програмата тема на оценка</w:t>
        </w:r>
        <w:r>
          <w:tab/>
        </w:r>
        <w:r>
          <w:fldChar w:fldCharType="begin"/>
        </w:r>
        <w:r>
          <w:instrText xml:space="preserve"> PAGEREF _Toc256000230 \h </w:instrText>
        </w:r>
        <w:r>
          <w:fldChar w:fldCharType="separate"/>
        </w:r>
        <w:r>
          <w:t>132</w:t>
        </w:r>
        <w:r>
          <w:fldChar w:fldCharType="end"/>
        </w:r>
      </w:hyperlink>
    </w:p>
    <w:p w:rsidR="002B3815" w:rsidRDefault="0099452B">
      <w:pPr>
        <w:pStyle w:val="TOC3"/>
        <w:rPr>
          <w:rFonts w:ascii="Calibri" w:hAnsi="Calibri"/>
          <w:noProof/>
          <w:sz w:val="22"/>
        </w:rPr>
      </w:pPr>
      <w:hyperlink w:anchor="_Toc256000231" w:history="1">
        <w:r>
          <w:rPr>
            <w:rStyle w:val="Hyperlink"/>
          </w:rPr>
          <w:t>7.a40) PSEQ05-TOPIC - Специфичен за програмата въпрос за оценка, свързан със специфична за програмата тема на оценка</w:t>
        </w:r>
        <w:r>
          <w:tab/>
        </w:r>
        <w:r>
          <w:fldChar w:fldCharType="begin"/>
        </w:r>
        <w:r>
          <w:instrText xml:space="preserve"> PAGEREF _Toc256000231 \h </w:instrText>
        </w:r>
        <w:r>
          <w:fldChar w:fldCharType="separate"/>
        </w:r>
        <w:r>
          <w:t>132</w:t>
        </w:r>
        <w:r>
          <w:fldChar w:fldCharType="end"/>
        </w:r>
      </w:hyperlink>
    </w:p>
    <w:p w:rsidR="002B3815" w:rsidRDefault="0099452B">
      <w:pPr>
        <w:pStyle w:val="TOC2"/>
        <w:rPr>
          <w:rFonts w:ascii="Calibri" w:hAnsi="Calibri"/>
          <w:noProof/>
          <w:sz w:val="22"/>
        </w:rPr>
      </w:pPr>
      <w:hyperlink w:anchor="_Toc256000232" w:history="1">
        <w:r>
          <w:rPr>
            <w:rStyle w:val="Hyperlink"/>
          </w:rPr>
          <w:t>7.b) Table of result indicators</w:t>
        </w:r>
        <w:r>
          <w:tab/>
        </w:r>
        <w:r>
          <w:fldChar w:fldCharType="begin"/>
        </w:r>
        <w:r>
          <w:instrText xml:space="preserve"> PAGEREF _Toc256000232 \h </w:instrText>
        </w:r>
        <w:r>
          <w:fldChar w:fldCharType="separate"/>
        </w:r>
        <w:r>
          <w:t>134</w:t>
        </w:r>
        <w:r>
          <w:fldChar w:fldCharType="end"/>
        </w:r>
      </w:hyperlink>
    </w:p>
    <w:p w:rsidR="002B3815" w:rsidRDefault="0099452B">
      <w:pPr>
        <w:pStyle w:val="TOC2"/>
        <w:rPr>
          <w:rFonts w:ascii="Calibri" w:hAnsi="Calibri"/>
          <w:noProof/>
          <w:sz w:val="22"/>
        </w:rPr>
      </w:pPr>
      <w:hyperlink w:anchor="_Toc256000233" w:history="1">
        <w:r>
          <w:rPr>
            <w:rStyle w:val="Hyperlink"/>
          </w:rPr>
          <w:t>7.c) Table of additional and programme specifc indicators used to su</w:t>
        </w:r>
        <w:r>
          <w:rPr>
            <w:rStyle w:val="Hyperlink"/>
          </w:rPr>
          <w:t>pport evaluation findings</w:t>
        </w:r>
        <w:r>
          <w:tab/>
        </w:r>
        <w:r>
          <w:fldChar w:fldCharType="begin"/>
        </w:r>
        <w:r>
          <w:instrText xml:space="preserve"> PAGEREF _Toc256000233 \h </w:instrText>
        </w:r>
        <w:r>
          <w:fldChar w:fldCharType="separate"/>
        </w:r>
        <w:r>
          <w:t>137</w:t>
        </w:r>
        <w:r>
          <w:fldChar w:fldCharType="end"/>
        </w:r>
      </w:hyperlink>
    </w:p>
    <w:p w:rsidR="002B3815" w:rsidRDefault="0099452B">
      <w:pPr>
        <w:pStyle w:val="TOC2"/>
        <w:rPr>
          <w:rFonts w:ascii="Calibri" w:hAnsi="Calibri"/>
          <w:noProof/>
          <w:sz w:val="22"/>
        </w:rPr>
      </w:pPr>
      <w:hyperlink w:anchor="_Toc256000234" w:history="1">
        <w:r>
          <w:rPr>
            <w:rStyle w:val="Hyperlink"/>
          </w:rPr>
          <w:t>7.d) Table of CAP impact indicators</w:t>
        </w:r>
        <w:r>
          <w:tab/>
        </w:r>
        <w:r>
          <w:fldChar w:fldCharType="begin"/>
        </w:r>
        <w:r>
          <w:instrText xml:space="preserve"> PAGEREF _Toc256000234 \h </w:instrText>
        </w:r>
        <w:r>
          <w:fldChar w:fldCharType="separate"/>
        </w:r>
        <w:r>
          <w:t>138</w:t>
        </w:r>
        <w:r>
          <w:fldChar w:fldCharType="end"/>
        </w:r>
      </w:hyperlink>
    </w:p>
    <w:p w:rsidR="002B3815" w:rsidRDefault="0099452B">
      <w:pPr>
        <w:pStyle w:val="TOC1"/>
        <w:rPr>
          <w:rFonts w:ascii="Calibri" w:hAnsi="Calibri"/>
          <w:noProof/>
          <w:sz w:val="22"/>
        </w:rPr>
      </w:pPr>
      <w:hyperlink w:anchor="_Toc256000235" w:history="1">
        <w:r>
          <w:rPr>
            <w:rStyle w:val="Hyperlink"/>
          </w:rPr>
          <w:t>8. Изпълнение на дейности с цел отчитане на принципите, определени в членове 5, 7 и 8 от Регламент (ЕС) № 1303/2013</w:t>
        </w:r>
        <w:r>
          <w:tab/>
        </w:r>
        <w:r>
          <w:fldChar w:fldCharType="begin"/>
        </w:r>
        <w:r>
          <w:instrText xml:space="preserve"> PAGEREF _Toc256000235 \h </w:instrText>
        </w:r>
        <w:r>
          <w:fldChar w:fldCharType="separate"/>
        </w:r>
        <w:r>
          <w:t>141</w:t>
        </w:r>
        <w:r>
          <w:fldChar w:fldCharType="end"/>
        </w:r>
      </w:hyperlink>
    </w:p>
    <w:p w:rsidR="002B3815" w:rsidRDefault="0099452B">
      <w:pPr>
        <w:pStyle w:val="TOC2"/>
        <w:rPr>
          <w:rFonts w:ascii="Calibri" w:hAnsi="Calibri"/>
          <w:noProof/>
          <w:sz w:val="22"/>
        </w:rPr>
      </w:pPr>
      <w:hyperlink w:anchor="_Toc256000236" w:history="1">
        <w:r>
          <w:rPr>
            <w:rStyle w:val="Hyperlink"/>
          </w:rPr>
          <w:t>8.a) Насърчаване на равенството между мъжете и жените и премахването на дискриминацията (член 7 от Регламент (ЕС) № 1303/2013)</w:t>
        </w:r>
        <w:r>
          <w:tab/>
        </w:r>
        <w:r>
          <w:fldChar w:fldCharType="begin"/>
        </w:r>
        <w:r>
          <w:instrText xml:space="preserve"> PAGEREF _Toc256000236 \h </w:instrText>
        </w:r>
        <w:r>
          <w:fldChar w:fldCharType="separate"/>
        </w:r>
        <w:r>
          <w:t>141</w:t>
        </w:r>
        <w:r>
          <w:fldChar w:fldCharType="end"/>
        </w:r>
      </w:hyperlink>
    </w:p>
    <w:p w:rsidR="002B3815" w:rsidRDefault="0099452B">
      <w:pPr>
        <w:pStyle w:val="TOC2"/>
        <w:rPr>
          <w:rFonts w:ascii="Calibri" w:hAnsi="Calibri"/>
          <w:noProof/>
          <w:sz w:val="22"/>
        </w:rPr>
      </w:pPr>
      <w:hyperlink w:anchor="_Toc256000237" w:history="1">
        <w:r>
          <w:rPr>
            <w:rStyle w:val="Hyperlink"/>
          </w:rPr>
          <w:t>8.b) Устойчиво развитие (член 8 от Регламент (ЕС) № 1303/2013)</w:t>
        </w:r>
        <w:r>
          <w:tab/>
        </w:r>
        <w:r>
          <w:fldChar w:fldCharType="begin"/>
        </w:r>
        <w:r>
          <w:instrText xml:space="preserve"> PAGEREF _Toc256000237 \h </w:instrText>
        </w:r>
        <w:r>
          <w:fldChar w:fldCharType="separate"/>
        </w:r>
        <w:r>
          <w:t>141</w:t>
        </w:r>
        <w:r>
          <w:fldChar w:fldCharType="end"/>
        </w:r>
      </w:hyperlink>
    </w:p>
    <w:p w:rsidR="002B3815" w:rsidRDefault="0099452B">
      <w:pPr>
        <w:pStyle w:val="TOC2"/>
        <w:rPr>
          <w:rFonts w:ascii="Calibri" w:hAnsi="Calibri"/>
          <w:noProof/>
          <w:sz w:val="22"/>
        </w:rPr>
      </w:pPr>
      <w:hyperlink w:anchor="_Toc256000238" w:history="1">
        <w:r>
          <w:rPr>
            <w:rStyle w:val="Hyperlink"/>
          </w:rPr>
          <w:t>8.c)</w:t>
        </w:r>
        <w:r>
          <w:rPr>
            <w:rStyle w:val="Hyperlink"/>
          </w:rPr>
          <w:t xml:space="preserve"> Ролята на партньорите, посочени в член 5 от Регламент (ЕС) № 1303/2013, във връзка с изпълнението на програмата</w:t>
        </w:r>
        <w:r>
          <w:tab/>
        </w:r>
        <w:r>
          <w:fldChar w:fldCharType="begin"/>
        </w:r>
        <w:r>
          <w:instrText xml:space="preserve"> PAGEREF _Toc256000238 \h </w:instrText>
        </w:r>
        <w:r>
          <w:fldChar w:fldCharType="separate"/>
        </w:r>
        <w:r>
          <w:t>142</w:t>
        </w:r>
        <w:r>
          <w:fldChar w:fldCharType="end"/>
        </w:r>
      </w:hyperlink>
    </w:p>
    <w:p w:rsidR="002B3815" w:rsidRDefault="0099452B">
      <w:pPr>
        <w:pStyle w:val="TOC1"/>
        <w:rPr>
          <w:rFonts w:ascii="Calibri" w:hAnsi="Calibri"/>
          <w:noProof/>
          <w:sz w:val="22"/>
        </w:rPr>
      </w:pPr>
      <w:hyperlink w:anchor="_Toc256000239" w:history="1">
        <w:r>
          <w:rPr>
            <w:rStyle w:val="Hyperlink"/>
          </w:rPr>
          <w:t xml:space="preserve">9. Напредък </w:t>
        </w:r>
        <w:r>
          <w:rPr>
            <w:rStyle w:val="Hyperlink"/>
          </w:rPr>
          <w:t>в осигуряването на интегриран подход при използването на ЕЗФРСР и на други финансови инструменти на ЕС</w:t>
        </w:r>
        <w:r>
          <w:tab/>
        </w:r>
        <w:r>
          <w:fldChar w:fldCharType="begin"/>
        </w:r>
        <w:r>
          <w:instrText xml:space="preserve"> PAGEREF _Toc256000239 \h </w:instrText>
        </w:r>
        <w:r>
          <w:fldChar w:fldCharType="separate"/>
        </w:r>
        <w:r>
          <w:t>144</w:t>
        </w:r>
        <w:r>
          <w:fldChar w:fldCharType="end"/>
        </w:r>
      </w:hyperlink>
    </w:p>
    <w:p w:rsidR="002B3815" w:rsidRDefault="0099452B">
      <w:pPr>
        <w:pStyle w:val="TOC1"/>
        <w:rPr>
          <w:rFonts w:ascii="Calibri" w:hAnsi="Calibri"/>
          <w:noProof/>
          <w:sz w:val="22"/>
        </w:rPr>
      </w:pPr>
      <w:hyperlink w:anchor="_Toc256000240" w:history="1">
        <w:r>
          <w:rPr>
            <w:rStyle w:val="Hyperlink"/>
          </w:rPr>
          <w:t xml:space="preserve">10. Доклад за </w:t>
        </w:r>
        <w:r>
          <w:rPr>
            <w:rStyle w:val="Hyperlink"/>
          </w:rPr>
          <w:t>изпълнението на финансовите инструменти (член 46 от Регламент (ЕС) № 1303/2013)</w:t>
        </w:r>
        <w:r>
          <w:tab/>
        </w:r>
        <w:r>
          <w:fldChar w:fldCharType="begin"/>
        </w:r>
        <w:r>
          <w:instrText xml:space="preserve"> PAGEREF _Toc256000240 \h </w:instrText>
        </w:r>
        <w:r>
          <w:fldChar w:fldCharType="separate"/>
        </w:r>
        <w:r>
          <w:t>148</w:t>
        </w:r>
        <w:r>
          <w:fldChar w:fldCharType="end"/>
        </w:r>
      </w:hyperlink>
    </w:p>
    <w:p w:rsidR="002B3815" w:rsidRDefault="0099452B">
      <w:pPr>
        <w:pStyle w:val="TOC1"/>
        <w:rPr>
          <w:rFonts w:ascii="Calibri" w:hAnsi="Calibri"/>
          <w:noProof/>
          <w:sz w:val="22"/>
        </w:rPr>
      </w:pPr>
      <w:hyperlink w:anchor="_Toc256000241" w:history="1">
        <w:r>
          <w:rPr>
            <w:rStyle w:val="Hyperlink"/>
          </w:rPr>
          <w:t>11. Кодиращи таблици за общи и специфични за п</w:t>
        </w:r>
        <w:r>
          <w:rPr>
            <w:rStyle w:val="Hyperlink"/>
          </w:rPr>
          <w:t>рограмата показатели и количествени целеви стойности</w:t>
        </w:r>
        <w:r>
          <w:tab/>
        </w:r>
        <w:r>
          <w:fldChar w:fldCharType="begin"/>
        </w:r>
        <w:r>
          <w:instrText xml:space="preserve"> PAGEREF _Toc256000241 \h </w:instrText>
        </w:r>
        <w:r>
          <w:fldChar w:fldCharType="separate"/>
        </w:r>
        <w:r>
          <w:t>149</w:t>
        </w:r>
        <w:r>
          <w:fldChar w:fldCharType="end"/>
        </w:r>
      </w:hyperlink>
    </w:p>
    <w:p w:rsidR="002B3815" w:rsidRDefault="0099452B">
      <w:pPr>
        <w:pStyle w:val="TOC2"/>
        <w:rPr>
          <w:rFonts w:ascii="Calibri" w:hAnsi="Calibri"/>
          <w:noProof/>
          <w:sz w:val="22"/>
        </w:rPr>
      </w:pPr>
      <w:hyperlink w:anchor="_Toc256000242" w:history="1">
        <w:r>
          <w:rPr>
            <w:rStyle w:val="Hyperlink"/>
          </w:rPr>
          <w:t>Приложение II</w:t>
        </w:r>
        <w:r>
          <w:tab/>
        </w:r>
        <w:r>
          <w:fldChar w:fldCharType="begin"/>
        </w:r>
        <w:r>
          <w:instrText xml:space="preserve"> PAGEREF _Toc256000242 \h </w:instrText>
        </w:r>
        <w:r>
          <w:fldChar w:fldCharType="separate"/>
        </w:r>
        <w:r>
          <w:t>150</w:t>
        </w:r>
        <w:r>
          <w:fldChar w:fldCharType="end"/>
        </w:r>
      </w:hyperlink>
    </w:p>
    <w:p w:rsidR="002B3815" w:rsidRDefault="0099452B">
      <w:pPr>
        <w:pStyle w:val="TOC2"/>
        <w:rPr>
          <w:rFonts w:ascii="Calibri" w:hAnsi="Calibri"/>
          <w:noProof/>
          <w:sz w:val="22"/>
        </w:rPr>
      </w:pPr>
      <w:hyperlink w:anchor="_Toc256000243" w:history="1">
        <w:r>
          <w:rPr>
            <w:rStyle w:val="Hyperlink"/>
          </w:rPr>
          <w:t>Документи</w:t>
        </w:r>
        <w:r>
          <w:tab/>
        </w:r>
        <w:r>
          <w:fldChar w:fldCharType="begin"/>
        </w:r>
        <w:r>
          <w:instrText xml:space="preserve"> PAGEREF _Toc256000243 \h </w:instrText>
        </w:r>
        <w:r>
          <w:fldChar w:fldCharType="separate"/>
        </w:r>
        <w:r>
          <w:t>166</w:t>
        </w:r>
        <w:r>
          <w:fldChar w:fldCharType="end"/>
        </w:r>
      </w:hyperlink>
    </w:p>
    <w:p w:rsidR="002B3815" w:rsidRDefault="0099452B">
      <w:pPr>
        <w:sectPr w:rsidR="002B3815">
          <w:pgSz w:w="12240" w:h="15840"/>
          <w:pgMar w:top="900" w:right="900" w:bottom="900" w:left="900" w:header="720" w:footer="720" w:gutter="0"/>
          <w:cols w:space="720"/>
        </w:sectPr>
      </w:pPr>
      <w:r>
        <w:fldChar w:fldCharType="end"/>
      </w:r>
    </w:p>
    <w:p w:rsidR="002B3815" w:rsidRDefault="0099452B">
      <w:pPr>
        <w:pStyle w:val="Heading1"/>
      </w:pPr>
      <w:bookmarkStart w:id="1" w:name="_Toc256000162"/>
      <w:bookmarkStart w:id="2" w:name="_Toc256000080"/>
      <w:bookmarkStart w:id="3" w:name="_Toc256000000"/>
      <w:r>
        <w:lastRenderedPageBreak/>
        <w:t>Ключова информация относно изпълнението на програмата и нейни</w:t>
      </w:r>
      <w:r>
        <w:t>те приоритети</w:t>
      </w:r>
      <w:bookmarkEnd w:id="1"/>
      <w:bookmarkEnd w:id="2"/>
      <w:bookmarkEnd w:id="3"/>
    </w:p>
    <w:p w:rsidR="002B3815" w:rsidRDefault="0099452B">
      <w:pPr>
        <w:pStyle w:val="Heading2"/>
      </w:pPr>
      <w:bookmarkStart w:id="4" w:name="_Toc256000163"/>
      <w:bookmarkStart w:id="5" w:name="_Toc256000081"/>
      <w:bookmarkStart w:id="6" w:name="_Toc256000001"/>
      <w:r>
        <w:t>Финансови данни</w:t>
      </w:r>
      <w:bookmarkEnd w:id="4"/>
      <w:bookmarkEnd w:id="5"/>
      <w:bookmarkEnd w:id="6"/>
    </w:p>
    <w:p w:rsidR="002B3815" w:rsidRDefault="0099452B">
      <w:r>
        <w:t>Вж. приложените документи</w:t>
      </w:r>
    </w:p>
    <w:p w:rsidR="002B3815" w:rsidRDefault="0099452B">
      <w:pPr>
        <w:pStyle w:val="Heading2"/>
      </w:pPr>
      <w:bookmarkStart w:id="7" w:name="_Toc256000164"/>
      <w:bookmarkStart w:id="8" w:name="_Toc256000082"/>
      <w:bookmarkStart w:id="9" w:name="_Toc256000002"/>
      <w:r>
        <w:t>Общи и специфични за програмата показатели и количествени целеви стойности</w:t>
      </w:r>
      <w:bookmarkEnd w:id="7"/>
      <w:bookmarkEnd w:id="8"/>
      <w:bookmarkEnd w:id="9"/>
    </w:p>
    <w:p w:rsidR="002B3815" w:rsidRDefault="0099452B">
      <w:pPr>
        <w:pStyle w:val="Heading3"/>
        <w:jc w:val="left"/>
      </w:pPr>
      <w:bookmarkStart w:id="10" w:name="_Toc256000165"/>
      <w:bookmarkStart w:id="11" w:name="_Toc256000083"/>
      <w:bookmarkStart w:id="12" w:name="_Toc256000003"/>
      <w:r>
        <w:t>Таблица с общ преглед</w:t>
      </w:r>
      <w:bookmarkEnd w:id="10"/>
      <w:bookmarkEnd w:id="11"/>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2B3815">
        <w:tc>
          <w:tcPr>
            <w:tcW w:w="0" w:type="auto"/>
            <w:gridSpan w:val="7"/>
            <w:shd w:val="clear" w:color="auto" w:fill="808080"/>
          </w:tcPr>
          <w:p w:rsidR="002B3815" w:rsidRDefault="0099452B">
            <w:pPr>
              <w:keepNext/>
              <w:spacing w:before="60" w:after="60"/>
              <w:jc w:val="center"/>
              <w:rPr>
                <w:b/>
                <w:sz w:val="20"/>
              </w:rPr>
            </w:pPr>
            <w:r>
              <w:rPr>
                <w:b/>
                <w:sz w:val="20"/>
              </w:rPr>
              <w:t>Акцентирана област 1A</w:t>
            </w:r>
          </w:p>
        </w:tc>
      </w:tr>
      <w:tr w:rsidR="002B3815">
        <w:tc>
          <w:tcPr>
            <w:tcW w:w="500" w:type="pct"/>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shd w:val="clear" w:color="auto" w:fill="C0C0C0"/>
            <w:vAlign w:val="center"/>
          </w:tcPr>
          <w:p w:rsidR="002B3815" w:rsidRDefault="0099452B">
            <w:pPr>
              <w:keepNext/>
              <w:spacing w:before="60" w:after="60"/>
              <w:jc w:val="center"/>
              <w:rPr>
                <w:sz w:val="16"/>
              </w:rPr>
            </w:pPr>
            <w:r>
              <w:rPr>
                <w:sz w:val="16"/>
              </w:rPr>
              <w:t>Период</w:t>
            </w:r>
          </w:p>
        </w:tc>
        <w:tc>
          <w:tcPr>
            <w:tcW w:w="500" w:type="pct"/>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w:t>
            </w:r>
            <w:r>
              <w:rPr>
                <w:sz w:val="16"/>
              </w:rPr>
              <w:t>мо)</w:t>
            </w:r>
          </w:p>
        </w:tc>
        <w:tc>
          <w:tcPr>
            <w:tcW w:w="500" w:type="pct"/>
            <w:shd w:val="clear" w:color="auto" w:fill="C0C0C0"/>
            <w:vAlign w:val="center"/>
          </w:tcPr>
          <w:p w:rsidR="002B3815" w:rsidRDefault="0099452B">
            <w:pPr>
              <w:keepNext/>
              <w:spacing w:before="60" w:after="60"/>
              <w:jc w:val="center"/>
              <w:rPr>
                <w:sz w:val="16"/>
              </w:rPr>
            </w:pPr>
            <w:r>
              <w:rPr>
                <w:sz w:val="16"/>
              </w:rPr>
              <w:t>Усвояване (%)</w:t>
            </w:r>
          </w:p>
        </w:tc>
        <w:tc>
          <w:tcPr>
            <w:tcW w:w="500" w:type="pct"/>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shd w:val="clear" w:color="auto" w:fill="C0C0C0"/>
            <w:vAlign w:val="center"/>
          </w:tcPr>
          <w:p w:rsidR="002B3815" w:rsidRDefault="0099452B">
            <w:pPr>
              <w:keepNext/>
              <w:spacing w:before="60" w:after="60"/>
              <w:jc w:val="center"/>
              <w:rPr>
                <w:sz w:val="16"/>
              </w:rPr>
            </w:pPr>
            <w:r>
              <w:rPr>
                <w:sz w:val="16"/>
              </w:rPr>
              <w:t>Усвояване (%)</w:t>
            </w:r>
          </w:p>
        </w:tc>
        <w:tc>
          <w:tcPr>
            <w:tcW w:w="500" w:type="pct"/>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vMerge w:val="restart"/>
            <w:shd w:val="clear" w:color="auto" w:fill="FFFFFF"/>
            <w:vAlign w:val="center"/>
          </w:tcPr>
          <w:p w:rsidR="002B3815" w:rsidRDefault="0099452B">
            <w:pPr>
              <w:keepNext/>
              <w:spacing w:before="60" w:after="60"/>
              <w:jc w:val="left"/>
              <w:rPr>
                <w:sz w:val="16"/>
              </w:rPr>
            </w:pPr>
            <w:r>
              <w:rPr>
                <w:sz w:val="16"/>
              </w:rPr>
              <w:t>T1: процент на 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0,18</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6,75</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2,67</w:t>
            </w:r>
          </w:p>
        </w:tc>
      </w:tr>
      <w:tr w:rsidR="002B3815">
        <w:trPr>
          <w:trHeight w:val="500"/>
        </w:trPr>
        <w:tc>
          <w:tcPr>
            <w:tcW w:w="1250" w:type="pct"/>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0,11</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4,12</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vMerge/>
            <w:tcBorders>
              <w:bottom w:val="single" w:sz="4" w:space="0" w:color="auto"/>
            </w:tcBorders>
            <w:shd w:val="clear" w:color="auto" w:fill="FFFFFF"/>
            <w:vAlign w:val="center"/>
          </w:tcPr>
          <w:p w:rsidR="002B3815" w:rsidRDefault="002B3815">
            <w:pPr>
              <w:spacing w:before="60" w:after="60"/>
              <w:jc w:val="left"/>
              <w:rPr>
                <w:sz w:val="16"/>
              </w:rPr>
            </w:pP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spacing w:before="60" w:after="60"/>
              <w:jc w:val="right"/>
              <w:rPr>
                <w:sz w:val="16"/>
              </w:rPr>
            </w:pP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2B3815">
        <w:tc>
          <w:tcPr>
            <w:tcW w:w="750" w:type="pct"/>
            <w:gridSpan w:val="7"/>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1B</w:t>
            </w:r>
          </w:p>
        </w:tc>
      </w:tr>
      <w:tr w:rsidR="002B3815">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T2: общ брой на операциите за сътрудничество, подпомагани </w:t>
            </w:r>
            <w:r>
              <w:rPr>
                <w:sz w:val="16"/>
              </w:rPr>
              <w:t>по мярката за сътрудничество (член 35 от Регламент (ЕС) № 1305/2013) (групи, мрежи/клъстери, пилотни проекти...) (област с поставен акцент 1Б)</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470,00</w:t>
            </w:r>
          </w:p>
        </w:tc>
      </w:tr>
      <w:tr w:rsidR="002B3815">
        <w:trPr>
          <w:trHeight w:val="500"/>
        </w:trPr>
        <w:tc>
          <w:tcPr>
            <w:tcW w:w="1250" w:type="pct"/>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vMerge/>
            <w:tcBorders>
              <w:bottom w:val="single" w:sz="4" w:space="0" w:color="auto"/>
            </w:tcBorders>
            <w:shd w:val="clear" w:color="auto" w:fill="FFFFFF"/>
            <w:vAlign w:val="center"/>
          </w:tcPr>
          <w:p w:rsidR="002B3815" w:rsidRDefault="002B3815">
            <w:pPr>
              <w:spacing w:before="60" w:after="60"/>
              <w:jc w:val="left"/>
              <w:rPr>
                <w:sz w:val="16"/>
              </w:rPr>
            </w:pP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spacing w:before="60" w:after="60"/>
              <w:jc w:val="right"/>
              <w:rPr>
                <w:sz w:val="16"/>
              </w:rPr>
            </w:pP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2B3815">
        <w:tc>
          <w:tcPr>
            <w:tcW w:w="750" w:type="pct"/>
            <w:gridSpan w:val="7"/>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1C</w:t>
            </w:r>
          </w:p>
        </w:tc>
      </w:tr>
      <w:tr w:rsidR="002B3815">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 xml:space="preserve">Наименование на </w:t>
            </w:r>
            <w:r>
              <w:rPr>
                <w:sz w:val="16"/>
              </w:rPr>
              <w:t>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T3: общ брой на участниците в обучения съгласно член 14 от Регламент (ЕС) № 1305/2013 (област с поставен акцент 1В)</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4 800,00</w:t>
            </w:r>
          </w:p>
        </w:tc>
      </w:tr>
      <w:tr w:rsidR="002B3815">
        <w:trPr>
          <w:trHeight w:val="500"/>
        </w:trPr>
        <w:tc>
          <w:tcPr>
            <w:tcW w:w="1250" w:type="pct"/>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vMerge/>
            <w:tcBorders>
              <w:bottom w:val="single" w:sz="4" w:space="0" w:color="auto"/>
            </w:tcBorders>
            <w:shd w:val="clear" w:color="auto" w:fill="FFFFFF"/>
            <w:vAlign w:val="center"/>
          </w:tcPr>
          <w:p w:rsidR="002B3815" w:rsidRDefault="002B3815">
            <w:pPr>
              <w:spacing w:before="60" w:after="60"/>
              <w:jc w:val="left"/>
              <w:rPr>
                <w:sz w:val="16"/>
              </w:rPr>
            </w:pP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spacing w:before="60" w:after="60"/>
              <w:jc w:val="right"/>
              <w:rPr>
                <w:sz w:val="16"/>
              </w:rPr>
            </w:pP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lastRenderedPageBreak/>
              <w:t>Акцентирана област 2A</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T4: процент на земеделските </w:t>
            </w:r>
            <w:r>
              <w:rPr>
                <w:sz w:val="16"/>
              </w:rPr>
              <w:t>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0,31</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32,81</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0,31</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32,81</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0,94</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0,30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31,76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0,11</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11,64</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0,16</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16,94</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0,04</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4,23</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5 000 000,00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929 216,00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6,35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929 215,00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6,35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14 625 000,00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301 402 617,00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182,98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85 649 661,00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52,00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164 719 395,70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31 322 212,00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51,39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32 855 375,00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53,91</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60 945 294,10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7 777 777,80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333 654 045,00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131,84</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119 434 251,00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47,19</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253 067 467,60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2B</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0,73</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88,38</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0,73</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88,38</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0,83</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0,74</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89,60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0,74</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89,60</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0,42</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50,85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0,01</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1,21</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2 000 000,00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975 710,00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72,18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943 448,00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69,80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1 351 714,00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89 613 934,00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426,73</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29 884 464,00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142,31</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21 000 000,00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34 850 000,00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45,55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45 453 677,00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59,41</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76 513 021,10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125 439 644,00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124,36</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76 281 589,00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75,63</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100 864 735,10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lastRenderedPageBreak/>
              <w:t>Акцентирана област 2C+</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 xml:space="preserve">Въз основа на одобреното (ако е </w:t>
            </w:r>
            <w:r>
              <w:rPr>
                <w:sz w:val="16"/>
              </w:rPr>
              <w:t>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Фирми, получили подпомагане  (брой)</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E6E6E6"/>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120,00</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E6E6E6"/>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E6E6E6"/>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E6E6E6"/>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18 000 000,00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18 000 000,00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3A</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 xml:space="preserve">Наименование на целевия </w:t>
            </w:r>
            <w:r>
              <w:rPr>
                <w:sz w:val="16"/>
              </w:rPr>
              <w:t>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T6: процент на земеделските стопанства, получаващи подпомагане по схеми за качество, местни пазари и къси вериги на доставки и </w:t>
            </w:r>
            <w:r>
              <w:rPr>
                <w:sz w:val="16"/>
              </w:rPr>
              <w:t>групи/организации на производителите (област с поставен акцент 3A)</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0,03</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24,70</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0,03</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24,70</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0,12</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12,95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12,95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984 000,00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180 756 402,00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76,73</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31 354 182,00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13,31</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235 577 947,10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5 257 548,00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M09</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2 850 144,00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36,56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231 740,00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2,97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7 795 946,60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2 008 798,00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3,53</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1 986 613,00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3,49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56 859 510,50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9 555 555,60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185 742 740,00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58,74</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33 699 931,00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10,66</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316 230 507,80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69"/>
        <w:gridCol w:w="1503"/>
        <w:gridCol w:w="1504"/>
        <w:gridCol w:w="972"/>
        <w:gridCol w:w="1504"/>
        <w:gridCol w:w="972"/>
        <w:gridCol w:w="971"/>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lastRenderedPageBreak/>
              <w:t>Акцентирана област 3B</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 xml:space="preserve">Наименование на </w:t>
            </w:r>
            <w:r>
              <w:rPr>
                <w:sz w:val="16"/>
              </w:rPr>
              <w:t>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Брой на участниците в обучения по Мярка 1 "Трансфер на знания и действия за осведомяване " (number)</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E6E6E6"/>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200,00</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E6E6E6"/>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E6E6E6"/>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E6E6E6"/>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84,93</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84,93</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150 000,00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127 396,00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36,40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127 396,00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36,40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350 000,00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Приоритет P4</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2,31</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2,56</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2,48</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209,42</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1,18</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2,46</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207,73</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1,35</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114,00</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2,48</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98,22</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2,52</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2,46</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97,43</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1,35</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53,47</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13,60</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113,35</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12,00</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16,47</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137,27</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14,79</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123,26</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5 900 000,00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1 253 382,00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99,85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1 250 382,00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99,61</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1 255 318,00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158 157 452,70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17 059 596,50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M10</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O1 - </w:t>
            </w:r>
            <w:r>
              <w:rPr>
                <w:sz w:val="16"/>
              </w:rPr>
              <w:t>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185 175 343,00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87,62</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96 293 044,95</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45,56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211 346 669,30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120 072 841,00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79,21</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83 483 439,34</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55,07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151 593 438,70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102 398 810,00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73,31</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69 610 952,79</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49,84</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139 676 037,30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M13</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203 874 400,00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73,97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137 115 873,15</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49,75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275 604 674,70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M15</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8 750 000,00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9 684 835,60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612 774 776,00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62,59</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387 753 692,23</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39,61</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979 028 022,80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5A</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38,72</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4 000 000,00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142 369,00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67,79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142 369,00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67,79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210 000,00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w:t>
            </w:r>
            <w:r>
              <w:rPr>
                <w:sz w:val="16"/>
              </w:rPr>
              <w:t xml:space="preserve">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5 745 739,00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11,39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657 493,00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50 465 860,00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1 111 111,10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5 888 108,00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10,55</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799 862,00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1,43</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55 786 971,10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5B</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T15: общи инвестиции за енергийна ефективност (в евро) (област с поставен акцент 5Б)</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55 240 936,00</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25,49</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7 750 600,00</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3,58</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216 674 111,30</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13 557 418,00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6,26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8 612 674,23</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3,97</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3 442 239,96</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1,59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442 716,77</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0,20</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2 550 000,00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464 785,00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99,50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464 786,00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99,50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467 100,00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27 000 522,00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22,68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6 744 501,00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5,67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119 024 466,80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1 111 111,10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27 465 307,00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22,30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7 209 287,00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5,85</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123 152 677,90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5C</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T16: общ размер на инвестициите в производство на енергия от възобновяеми източници (в евро) (област с поставен </w:t>
            </w:r>
            <w:r>
              <w:rPr>
                <w:sz w:val="16"/>
              </w:rPr>
              <w:t>акцент 5В)</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4 445 644,00</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2,97</w:t>
            </w: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298 382,00</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0,20</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149 544 703,80</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3 679 321,00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2,46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2 616 176,94</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1,75</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435 866,93</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0,29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435 866,93</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0,29</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550 000,00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464 785,00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162,77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464 786,00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162,77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285 555,00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1 708 374,00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3,94</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244 667,00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0,56</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43 334 822,30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M07</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378 330,00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0,54</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70 000 000,00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1 111 111,10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2 551 489,00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2,21</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709 453,00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0,62</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115 281 488,40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5D</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T18: процент на земеделската земя, </w:t>
            </w:r>
            <w:r>
              <w:rPr>
                <w:sz w:val="16"/>
              </w:rPr>
              <w:t>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0,02</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12,79</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0,16</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0,63</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402,80</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0,54</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345,26</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T17: процент на ЖЕ, </w:t>
            </w:r>
            <w:r>
              <w:rPr>
                <w:sz w:val="16"/>
              </w:rPr>
              <w:t>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0,09</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5,71</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1,58</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0,09</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5,71</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 xml:space="preserve">Показател за </w:t>
            </w:r>
            <w:r>
              <w:rPr>
                <w:sz w:val="16"/>
              </w:rPr>
              <w:t>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3 694 595,00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464 785,00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162,57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464 786,00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162,57</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285 900,00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1 787 076,00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269 488,00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0,63</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42 749 644,50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M10</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28 026 114,00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233,55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17 757 973,59</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147,98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12 000 000,00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1 111 111,10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30 277 975,00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50,60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18 492 247,59</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30,90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59 841 250,60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5E</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0,02</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1 300 000,00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464 785,00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167,49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464 786,00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167,49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277 500,00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623 064,00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2,19</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583 748,00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2,05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28 467 778,60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1 111 111,10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1 087 849,00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3,49</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1 048 534,00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3,37</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31 156 389,70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6A</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T20: работни места, разкрити в подпомогнатите проекти </w:t>
            </w:r>
            <w:r>
              <w:rPr>
                <w:sz w:val="16"/>
              </w:rPr>
              <w:t>(област с поставен акцент 6А)</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706,00</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16,53</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4 270,00</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234,00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5,48</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O1 - </w:t>
            </w:r>
            <w:r>
              <w:rPr>
                <w:sz w:val="16"/>
              </w:rPr>
              <w:t>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127 945 241,00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127 945 241,00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6B</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T23: работни места, разкрити в подпомогнатите проекти (Leader) (област с поставен акцент 6Б)</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600,00</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T22: процент от населението в </w:t>
            </w:r>
            <w:r>
              <w:rPr>
                <w:sz w:val="16"/>
              </w:rPr>
              <w:t>селските райони, което се възползва от подобрените услуги/инфраструктура (област с поставен акцент 6Б)</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4,57</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13,70</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33,36</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T21: процент от населението в селските райони, обхванато от стратегии за</w:t>
            </w:r>
            <w:r>
              <w:rPr>
                <w:sz w:val="16"/>
              </w:rPr>
              <w:t xml:space="preserve"> местно развитие (област с поставен акцент 6Б)</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27,53</w:t>
            </w:r>
          </w:p>
        </w:tc>
        <w:tc>
          <w:tcPr>
            <w:tcW w:w="500" w:type="pct"/>
            <w:tcBorders>
              <w:bottom w:val="dashSmallGap" w:sz="4" w:space="0" w:color="auto"/>
            </w:tcBorders>
            <w:shd w:val="clear" w:color="auto" w:fill="FFFFFF"/>
            <w:vAlign w:val="center"/>
          </w:tcPr>
          <w:p w:rsidR="002B3815" w:rsidRDefault="0099452B">
            <w:pPr>
              <w:keepNext/>
              <w:spacing w:before="60" w:after="60"/>
              <w:jc w:val="right"/>
              <w:rPr>
                <w:sz w:val="16"/>
              </w:rPr>
            </w:pPr>
            <w:r>
              <w:rPr>
                <w:sz w:val="16"/>
              </w:rPr>
              <w:t>120,18</w:t>
            </w: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22,91</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16,42</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71,68</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16,42</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71,68</w:t>
            </w: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w:t>
            </w:r>
            <w:r>
              <w:rPr>
                <w:sz w:val="16"/>
              </w:rPr>
              <w:t xml:space="preserve">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M07</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468 958 626,00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89,20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6 043 509,00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1,15</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525 725 910,60</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M19</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120 606 870,10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91,73</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7 752 119,00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5,90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131 484 276,70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589 565 496,10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89,71</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13 795 628,00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2,10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657 210 187,30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2B3815">
        <w:tc>
          <w:tcPr>
            <w:tcW w:w="750" w:type="pct"/>
            <w:gridSpan w:val="8"/>
            <w:tcBorders>
              <w:bottom w:val="single" w:sz="4" w:space="0" w:color="auto"/>
            </w:tcBorders>
            <w:shd w:val="clear" w:color="auto" w:fill="808080"/>
            <w:vAlign w:val="center"/>
          </w:tcPr>
          <w:p w:rsidR="002B3815" w:rsidRDefault="0099452B">
            <w:pPr>
              <w:keepNext/>
              <w:spacing w:before="60" w:after="60"/>
              <w:jc w:val="center"/>
              <w:rPr>
                <w:b/>
                <w:sz w:val="20"/>
              </w:rPr>
            </w:pPr>
            <w:r>
              <w:rPr>
                <w:b/>
                <w:sz w:val="20"/>
              </w:rPr>
              <w:t>Акцентирана област 6C</w:t>
            </w:r>
          </w:p>
        </w:tc>
      </w:tr>
      <w:tr w:rsidR="002B3815">
        <w:tc>
          <w:tcPr>
            <w:tcW w:w="500" w:type="pct"/>
            <w:gridSpan w:val="2"/>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Цел за 2023 г.</w:t>
            </w:r>
          </w:p>
        </w:tc>
      </w:tr>
      <w:tr w:rsidR="002B3815">
        <w:trPr>
          <w:trHeight w:val="500"/>
        </w:trPr>
        <w:tc>
          <w:tcPr>
            <w:tcW w:w="1250" w:type="pct"/>
            <w:gridSpan w:val="2"/>
            <w:vMerge w:val="restart"/>
            <w:tcBorders>
              <w:bottom w:val="single" w:sz="4" w:space="0" w:color="auto"/>
            </w:tcBorders>
            <w:shd w:val="clear" w:color="auto" w:fill="FFFFFF"/>
            <w:vAlign w:val="center"/>
          </w:tcPr>
          <w:p w:rsidR="002B3815" w:rsidRDefault="0099452B">
            <w:pPr>
              <w:keepNext/>
              <w:spacing w:before="60" w:after="60"/>
              <w:jc w:val="left"/>
              <w:rPr>
                <w:sz w:val="16"/>
              </w:rPr>
            </w:pPr>
            <w:r>
              <w:rPr>
                <w:sz w:val="16"/>
              </w:rPr>
              <w:t xml:space="preserve">T24: процент от населението в </w:t>
            </w:r>
            <w:r>
              <w:rPr>
                <w:sz w:val="16"/>
              </w:rPr>
              <w:t>селските райони, което се възползва от нови или подобрени услуги/инфраструктура (ИКТ) (област с поставен акцент 6В)</w:t>
            </w:r>
          </w:p>
        </w:tc>
        <w:tc>
          <w:tcPr>
            <w:tcW w:w="500" w:type="pct"/>
            <w:tcBorders>
              <w:bottom w:val="dashSmallGap"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2B3815" w:rsidRDefault="0099452B">
            <w:pPr>
              <w:keepNext/>
              <w:spacing w:before="60" w:after="60"/>
              <w:jc w:val="right"/>
              <w:rPr>
                <w:sz w:val="16"/>
              </w:rPr>
            </w:pPr>
            <w:r>
              <w:rPr>
                <w:sz w:val="16"/>
              </w:rPr>
              <w:t>1,64</w:t>
            </w: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right"/>
              <w:rPr>
                <w:sz w:val="16"/>
              </w:rPr>
            </w:pPr>
          </w:p>
        </w:tc>
      </w:tr>
      <w:tr w:rsidR="002B3815">
        <w:trPr>
          <w:trHeight w:val="500"/>
        </w:trPr>
        <w:tc>
          <w:tcPr>
            <w:tcW w:w="1250" w:type="pct"/>
            <w:gridSpan w:val="2"/>
            <w:vMerge/>
            <w:tcBorders>
              <w:bottom w:val="single" w:sz="4" w:space="0" w:color="auto"/>
            </w:tcBorders>
            <w:shd w:val="clear" w:color="auto" w:fill="FFFFFF"/>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 xml:space="preserve">Усвояване </w:t>
            </w:r>
            <w:r>
              <w:rPr>
                <w:sz w:val="16"/>
              </w:rPr>
              <w:t>(%)</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M07</w:t>
            </w:r>
          </w:p>
        </w:tc>
        <w:tc>
          <w:tcPr>
            <w:tcW w:w="1050" w:type="pct"/>
            <w:tcBorders>
              <w:bottom w:val="single" w:sz="4" w:space="0" w:color="auto"/>
            </w:tcBorders>
            <w:shd w:val="clear" w:color="auto" w:fill="FFFFFF"/>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keepNext/>
              <w:spacing w:before="60" w:after="60"/>
              <w:jc w:val="right"/>
              <w:rPr>
                <w:sz w:val="16"/>
              </w:rPr>
            </w:pPr>
            <w:r>
              <w:rPr>
                <w:sz w:val="16"/>
              </w:rPr>
              <w:t>30 000 000,00</w:t>
            </w:r>
          </w:p>
        </w:tc>
      </w:tr>
      <w:tr w:rsidR="002B3815">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vAlign w:val="center"/>
          </w:tcPr>
          <w:p w:rsidR="002B3815" w:rsidRDefault="0099452B">
            <w:pPr>
              <w:spacing w:before="60" w:after="60"/>
              <w:jc w:val="right"/>
              <w:rPr>
                <w:sz w:val="16"/>
              </w:rPr>
            </w:pPr>
            <w:r>
              <w:rPr>
                <w:sz w:val="16"/>
              </w:rPr>
              <w:t>30 000 000,00</w:t>
            </w:r>
          </w:p>
        </w:tc>
      </w:tr>
    </w:tbl>
    <w:p w:rsidR="002B3815" w:rsidRDefault="002B3815">
      <w:pPr>
        <w:spacing w:before="60" w:after="60"/>
        <w:jc w:val="center"/>
        <w:rPr>
          <w:b/>
          <w:sz w:val="20"/>
        </w:rPr>
      </w:pPr>
    </w:p>
    <w:p w:rsidR="002B3815" w:rsidRDefault="002B3815"/>
    <w:p w:rsidR="002B3815" w:rsidRDefault="002B3815">
      <w:pPr>
        <w:sectPr w:rsidR="002B3815">
          <w:pgSz w:w="12240" w:h="15840"/>
          <w:pgMar w:top="900" w:right="900" w:bottom="900" w:left="900" w:header="720" w:footer="720" w:gutter="0"/>
          <w:cols w:space="720"/>
        </w:sectPr>
      </w:pPr>
    </w:p>
    <w:p w:rsidR="002B3815" w:rsidRDefault="0099452B">
      <w:pPr>
        <w:pStyle w:val="Heading2"/>
      </w:pPr>
      <w:bookmarkStart w:id="13" w:name="_Toc256000166"/>
      <w:bookmarkStart w:id="14" w:name="_Toc256000084"/>
      <w:bookmarkStart w:id="15" w:name="_Toc256000004"/>
      <w:r>
        <w:t>Ключова информация относно изпълнението</w:t>
      </w:r>
      <w:r>
        <w:t xml:space="preserve"> на ПРСР въз основа на данни от a) и б) по акцентирани области</w:t>
      </w:r>
      <w:bookmarkEnd w:id="13"/>
      <w:bookmarkEnd w:id="14"/>
      <w:bookmarkEnd w:id="1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2B3815">
        <w:tc>
          <w:tcPr>
            <w:tcW w:w="750" w:type="pct"/>
            <w:shd w:val="clear" w:color="auto" w:fill="auto"/>
            <w:vAlign w:val="center"/>
          </w:tcPr>
          <w:p w:rsidR="002B3815" w:rsidRDefault="0099452B">
            <w:pPr>
              <w:spacing w:before="0" w:after="240"/>
              <w:jc w:val="left"/>
              <w:rPr>
                <w:szCs w:val="24"/>
              </w:rPr>
            </w:pPr>
            <w:r>
              <w:rPr>
                <w:szCs w:val="24"/>
              </w:rPr>
              <w:t>Програмата за развитие на селските райони на България за програмния период 2014-2020 г. (наричана тук ПРСР 2014-2020) е одобрена с Решение за изпълнение на Комисията C (2015) 3480 от 26.05.2015</w:t>
            </w:r>
            <w:r>
              <w:rPr>
                <w:szCs w:val="24"/>
              </w:rPr>
              <w:t xml:space="preserve"> г. и от 2015 г.</w:t>
            </w:r>
          </w:p>
          <w:p w:rsidR="002B3815" w:rsidRDefault="0099452B">
            <w:pPr>
              <w:spacing w:before="240" w:after="240"/>
              <w:jc w:val="left"/>
              <w:rPr>
                <w:szCs w:val="24"/>
              </w:rPr>
            </w:pPr>
            <w:r>
              <w:rPr>
                <w:szCs w:val="24"/>
              </w:rPr>
              <w:t>Общият бюджетът на ПРСР 2014- 2020 в размер на 2 917 848 203 евро /публични средства/ и индикаторите за изпълнение са обособени общо в 17 мерки и една Тематична подпрограма за развитие на малките стопанства.</w:t>
            </w:r>
          </w:p>
          <w:p w:rsidR="002B3815" w:rsidRDefault="0099452B">
            <w:pPr>
              <w:spacing w:before="240" w:after="240"/>
              <w:jc w:val="left"/>
              <w:rPr>
                <w:szCs w:val="24"/>
              </w:rPr>
            </w:pPr>
            <w:r>
              <w:rPr>
                <w:szCs w:val="24"/>
              </w:rPr>
              <w:t>Прием на мерки и подмерки от ПР</w:t>
            </w:r>
            <w:r>
              <w:rPr>
                <w:szCs w:val="24"/>
              </w:rPr>
              <w:t>СР 2014-2020 през 2015 г.:</w:t>
            </w:r>
          </w:p>
          <w:p w:rsidR="002B3815" w:rsidRDefault="0099452B">
            <w:pPr>
              <w:spacing w:before="240" w:after="240"/>
              <w:jc w:val="left"/>
              <w:rPr>
                <w:szCs w:val="24"/>
              </w:rPr>
            </w:pPr>
            <w:r>
              <w:rPr>
                <w:szCs w:val="24"/>
              </w:rPr>
              <w:t>През 2015 г. са реализирани приеми по следните мерки и подмерки:</w:t>
            </w:r>
          </w:p>
          <w:p w:rsidR="002B3815" w:rsidRDefault="0099452B" w:rsidP="0099452B">
            <w:pPr>
              <w:numPr>
                <w:ilvl w:val="0"/>
                <w:numId w:val="20"/>
              </w:numPr>
              <w:spacing w:before="240" w:after="240"/>
              <w:ind w:hanging="210"/>
              <w:jc w:val="left"/>
              <w:rPr>
                <w:szCs w:val="24"/>
              </w:rPr>
            </w:pPr>
            <w:r>
              <w:rPr>
                <w:szCs w:val="24"/>
              </w:rPr>
              <w:t>подмярка 4.1 „Инвестиции в земеделски стопанства”;</w:t>
            </w:r>
          </w:p>
          <w:p w:rsidR="002B3815" w:rsidRDefault="0099452B">
            <w:pPr>
              <w:spacing w:before="240" w:after="240"/>
              <w:jc w:val="left"/>
              <w:rPr>
                <w:szCs w:val="24"/>
              </w:rPr>
            </w:pPr>
            <w:r>
              <w:rPr>
                <w:szCs w:val="24"/>
              </w:rPr>
              <w:t>Прием на мерки и подмерки от ПРСР 2014-2020 през 2016 г.:</w:t>
            </w:r>
          </w:p>
          <w:p w:rsidR="002B3815" w:rsidRDefault="0099452B">
            <w:pPr>
              <w:spacing w:before="240" w:after="240"/>
              <w:jc w:val="left"/>
              <w:rPr>
                <w:szCs w:val="24"/>
              </w:rPr>
            </w:pPr>
            <w:r>
              <w:rPr>
                <w:szCs w:val="24"/>
              </w:rPr>
              <w:t xml:space="preserve">През 2016 г. са реализирани приеми по следните мерки и </w:t>
            </w:r>
            <w:r>
              <w:rPr>
                <w:szCs w:val="24"/>
              </w:rPr>
              <w:t>подмерки:</w:t>
            </w:r>
          </w:p>
          <w:p w:rsidR="002B3815" w:rsidRDefault="0099452B" w:rsidP="0099452B">
            <w:pPr>
              <w:numPr>
                <w:ilvl w:val="0"/>
                <w:numId w:val="21"/>
              </w:numPr>
              <w:spacing w:before="240" w:after="0"/>
              <w:ind w:hanging="210"/>
              <w:jc w:val="left"/>
              <w:rPr>
                <w:szCs w:val="24"/>
              </w:rPr>
            </w:pPr>
            <w:r>
              <w:rPr>
                <w:szCs w:val="24"/>
              </w:rPr>
              <w:t>подмярка 2.1.2. „Консултански услуги за малки земеделски стопанства”;</w:t>
            </w:r>
          </w:p>
          <w:p w:rsidR="002B3815" w:rsidRDefault="0099452B" w:rsidP="0099452B">
            <w:pPr>
              <w:numPr>
                <w:ilvl w:val="0"/>
                <w:numId w:val="21"/>
              </w:numPr>
              <w:spacing w:before="0" w:after="0"/>
              <w:ind w:hanging="210"/>
              <w:jc w:val="left"/>
              <w:rPr>
                <w:szCs w:val="24"/>
              </w:rPr>
            </w:pPr>
            <w:r>
              <w:rPr>
                <w:szCs w:val="24"/>
              </w:rPr>
              <w:t>подмярка 4.1 „Инвестиции в земеделски стопанства”;</w:t>
            </w:r>
          </w:p>
          <w:p w:rsidR="002B3815" w:rsidRDefault="0099452B" w:rsidP="0099452B">
            <w:pPr>
              <w:numPr>
                <w:ilvl w:val="0"/>
                <w:numId w:val="21"/>
              </w:numPr>
              <w:spacing w:before="0" w:after="0"/>
              <w:ind w:hanging="210"/>
              <w:jc w:val="left"/>
              <w:rPr>
                <w:szCs w:val="24"/>
              </w:rPr>
            </w:pPr>
            <w:r>
              <w:rPr>
                <w:szCs w:val="24"/>
              </w:rPr>
              <w:t>Подмярка 6.3 „Стартова помощ за развитието на малки стопанства”;</w:t>
            </w:r>
          </w:p>
          <w:p w:rsidR="002B3815" w:rsidRDefault="0099452B" w:rsidP="0099452B">
            <w:pPr>
              <w:numPr>
                <w:ilvl w:val="0"/>
                <w:numId w:val="21"/>
              </w:numPr>
              <w:spacing w:before="0" w:after="0"/>
              <w:ind w:hanging="210"/>
              <w:jc w:val="left"/>
              <w:rPr>
                <w:szCs w:val="24"/>
              </w:rPr>
            </w:pPr>
            <w:r>
              <w:rPr>
                <w:szCs w:val="24"/>
              </w:rPr>
              <w:t xml:space="preserve">подмярка 7.2 „Инвестиции в създаването, подобряването или </w:t>
            </w:r>
            <w:r>
              <w:rPr>
                <w:szCs w:val="24"/>
              </w:rPr>
              <w:t>разширяването на всчки видове малка по мащаб инфраструктура”;</w:t>
            </w:r>
          </w:p>
          <w:p w:rsidR="002B3815" w:rsidRDefault="0099452B" w:rsidP="0099452B">
            <w:pPr>
              <w:numPr>
                <w:ilvl w:val="0"/>
                <w:numId w:val="21"/>
              </w:numPr>
              <w:spacing w:before="0" w:after="0"/>
              <w:ind w:hanging="210"/>
              <w:jc w:val="left"/>
              <w:rPr>
                <w:szCs w:val="24"/>
              </w:rPr>
            </w:pPr>
            <w:r>
              <w:rPr>
                <w:szCs w:val="24"/>
              </w:rPr>
              <w:t>подмярка 7.6 „Проучвания и инвестиции, свързани с поддържане, възстановяване и подобряване на селата в селските райони”;</w:t>
            </w:r>
          </w:p>
          <w:p w:rsidR="002B3815" w:rsidRDefault="0099452B" w:rsidP="0099452B">
            <w:pPr>
              <w:numPr>
                <w:ilvl w:val="0"/>
                <w:numId w:val="21"/>
              </w:numPr>
              <w:spacing w:before="0" w:after="0"/>
              <w:ind w:hanging="210"/>
              <w:jc w:val="left"/>
              <w:rPr>
                <w:szCs w:val="24"/>
              </w:rPr>
            </w:pPr>
            <w:r>
              <w:rPr>
                <w:szCs w:val="24"/>
              </w:rPr>
              <w:t>подмярка 19.2. „Прилагане на операции в рамките на стратегии за водено от</w:t>
            </w:r>
            <w:r>
              <w:rPr>
                <w:szCs w:val="24"/>
              </w:rPr>
              <w:t xml:space="preserve"> общностите местно развитие”;</w:t>
            </w:r>
          </w:p>
          <w:p w:rsidR="002B3815" w:rsidRDefault="0099452B" w:rsidP="0099452B">
            <w:pPr>
              <w:numPr>
                <w:ilvl w:val="0"/>
                <w:numId w:val="21"/>
              </w:numPr>
              <w:spacing w:before="0" w:after="0"/>
              <w:ind w:hanging="210"/>
              <w:jc w:val="left"/>
              <w:rPr>
                <w:szCs w:val="24"/>
              </w:rPr>
            </w:pPr>
            <w:r>
              <w:rPr>
                <w:szCs w:val="24"/>
              </w:rPr>
              <w:t>подмярка 19.4. „Текущи разходи и популяризиране на стратегия за водено от общностите местно развитие”;</w:t>
            </w:r>
          </w:p>
          <w:p w:rsidR="002B3815" w:rsidRDefault="0099452B" w:rsidP="0099452B">
            <w:pPr>
              <w:numPr>
                <w:ilvl w:val="0"/>
                <w:numId w:val="21"/>
              </w:numPr>
              <w:spacing w:before="0" w:after="0"/>
              <w:ind w:hanging="210"/>
              <w:jc w:val="left"/>
              <w:rPr>
                <w:szCs w:val="24"/>
              </w:rPr>
            </w:pPr>
            <w:r>
              <w:rPr>
                <w:szCs w:val="24"/>
              </w:rPr>
              <w:t>мярка 10 „Агроекология и климат“;</w:t>
            </w:r>
          </w:p>
          <w:p w:rsidR="002B3815" w:rsidRDefault="0099452B" w:rsidP="0099452B">
            <w:pPr>
              <w:numPr>
                <w:ilvl w:val="0"/>
                <w:numId w:val="21"/>
              </w:numPr>
              <w:spacing w:before="0" w:after="0"/>
              <w:ind w:hanging="210"/>
              <w:jc w:val="left"/>
              <w:rPr>
                <w:szCs w:val="24"/>
              </w:rPr>
            </w:pPr>
            <w:r>
              <w:rPr>
                <w:szCs w:val="24"/>
              </w:rPr>
              <w:t>мярка 11 „Биологично земеделие“;</w:t>
            </w:r>
          </w:p>
          <w:p w:rsidR="002B3815" w:rsidRDefault="0099452B" w:rsidP="0099452B">
            <w:pPr>
              <w:numPr>
                <w:ilvl w:val="0"/>
                <w:numId w:val="21"/>
              </w:numPr>
              <w:spacing w:before="0" w:after="0"/>
              <w:ind w:hanging="210"/>
              <w:jc w:val="left"/>
              <w:rPr>
                <w:szCs w:val="24"/>
              </w:rPr>
            </w:pPr>
            <w:r>
              <w:rPr>
                <w:szCs w:val="24"/>
              </w:rPr>
              <w:t>мярка 12 „Плащания по „Натура-2000” и Рамковата директив</w:t>
            </w:r>
            <w:r>
              <w:rPr>
                <w:szCs w:val="24"/>
              </w:rPr>
              <w:t>а  за водите“;</w:t>
            </w:r>
          </w:p>
          <w:p w:rsidR="002B3815" w:rsidRDefault="0099452B" w:rsidP="0099452B">
            <w:pPr>
              <w:numPr>
                <w:ilvl w:val="0"/>
                <w:numId w:val="21"/>
              </w:numPr>
              <w:spacing w:before="0" w:after="240"/>
              <w:ind w:hanging="210"/>
              <w:jc w:val="left"/>
              <w:rPr>
                <w:szCs w:val="24"/>
              </w:rPr>
            </w:pPr>
            <w:r>
              <w:rPr>
                <w:szCs w:val="24"/>
              </w:rPr>
              <w:t>мярка 13 „Плащания за райони, изправени пред природни или други специфични ограничения“.</w:t>
            </w:r>
          </w:p>
          <w:p w:rsidR="002B3815" w:rsidRDefault="0099452B">
            <w:pPr>
              <w:spacing w:before="240" w:after="240"/>
              <w:jc w:val="left"/>
              <w:rPr>
                <w:szCs w:val="24"/>
              </w:rPr>
            </w:pPr>
            <w:r>
              <w:rPr>
                <w:szCs w:val="24"/>
              </w:rPr>
              <w:t>Прием на мерки и подмерки от ПРСР 2014-2020 през 2017 г.:</w:t>
            </w:r>
          </w:p>
          <w:p w:rsidR="002B3815" w:rsidRDefault="0099452B">
            <w:pPr>
              <w:spacing w:before="240" w:after="240"/>
              <w:jc w:val="left"/>
              <w:rPr>
                <w:szCs w:val="24"/>
              </w:rPr>
            </w:pPr>
            <w:r>
              <w:rPr>
                <w:szCs w:val="24"/>
              </w:rPr>
              <w:t>През 2017 г. са реализирани приеми по следните мерки и подмерки:</w:t>
            </w:r>
          </w:p>
          <w:p w:rsidR="002B3815" w:rsidRDefault="0099452B" w:rsidP="0099452B">
            <w:pPr>
              <w:numPr>
                <w:ilvl w:val="0"/>
                <w:numId w:val="22"/>
              </w:numPr>
              <w:spacing w:before="240" w:after="0"/>
              <w:ind w:hanging="210"/>
              <w:jc w:val="left"/>
              <w:rPr>
                <w:szCs w:val="24"/>
              </w:rPr>
            </w:pPr>
            <w:r>
              <w:rPr>
                <w:szCs w:val="24"/>
              </w:rPr>
              <w:t>подмярка 7.2 „Инвестиции в съ</w:t>
            </w:r>
            <w:r>
              <w:rPr>
                <w:szCs w:val="24"/>
              </w:rPr>
              <w:t>здаването, подобряването или разширяването на всички видове малка по мащаб инфраструктура” – прием на заявления за подпомагане за община Хитрино;</w:t>
            </w:r>
          </w:p>
          <w:p w:rsidR="002B3815" w:rsidRDefault="0099452B" w:rsidP="0099452B">
            <w:pPr>
              <w:numPr>
                <w:ilvl w:val="0"/>
                <w:numId w:val="22"/>
              </w:numPr>
              <w:spacing w:before="0" w:after="0"/>
              <w:ind w:hanging="210"/>
              <w:jc w:val="left"/>
              <w:rPr>
                <w:szCs w:val="24"/>
              </w:rPr>
            </w:pPr>
            <w:r>
              <w:rPr>
                <w:szCs w:val="24"/>
              </w:rPr>
              <w:t>мярка 10 „Агроекология и климат“;</w:t>
            </w:r>
          </w:p>
          <w:p w:rsidR="002B3815" w:rsidRDefault="0099452B" w:rsidP="0099452B">
            <w:pPr>
              <w:numPr>
                <w:ilvl w:val="0"/>
                <w:numId w:val="22"/>
              </w:numPr>
              <w:spacing w:before="0" w:after="0"/>
              <w:ind w:hanging="210"/>
              <w:jc w:val="left"/>
              <w:rPr>
                <w:szCs w:val="24"/>
              </w:rPr>
            </w:pPr>
            <w:r>
              <w:rPr>
                <w:szCs w:val="24"/>
              </w:rPr>
              <w:t>мярка 11 „Биологично земеделие“ ;</w:t>
            </w:r>
          </w:p>
          <w:p w:rsidR="002B3815" w:rsidRDefault="0099452B" w:rsidP="0099452B">
            <w:pPr>
              <w:numPr>
                <w:ilvl w:val="0"/>
                <w:numId w:val="22"/>
              </w:numPr>
              <w:spacing w:before="0" w:after="0"/>
              <w:ind w:hanging="210"/>
              <w:jc w:val="left"/>
              <w:rPr>
                <w:szCs w:val="24"/>
              </w:rPr>
            </w:pPr>
            <w:r>
              <w:rPr>
                <w:szCs w:val="24"/>
              </w:rPr>
              <w:t>мярка 12 „Плащания по „Натура-2000” и Рамк</w:t>
            </w:r>
            <w:r>
              <w:rPr>
                <w:szCs w:val="24"/>
              </w:rPr>
              <w:t>овата директива  за водите“;</w:t>
            </w:r>
          </w:p>
          <w:p w:rsidR="002B3815" w:rsidRDefault="0099452B" w:rsidP="0099452B">
            <w:pPr>
              <w:numPr>
                <w:ilvl w:val="0"/>
                <w:numId w:val="22"/>
              </w:numPr>
              <w:spacing w:before="0" w:after="0"/>
              <w:ind w:hanging="210"/>
              <w:jc w:val="left"/>
              <w:rPr>
                <w:szCs w:val="24"/>
              </w:rPr>
            </w:pPr>
            <w:r>
              <w:rPr>
                <w:szCs w:val="24"/>
              </w:rPr>
              <w:t>мярка 13 „Плащания за райони,изправени пред природни или други специфични ограничения“;</w:t>
            </w:r>
          </w:p>
          <w:p w:rsidR="002B3815" w:rsidRDefault="0099452B" w:rsidP="0099452B">
            <w:pPr>
              <w:numPr>
                <w:ilvl w:val="0"/>
                <w:numId w:val="22"/>
              </w:numPr>
              <w:spacing w:before="0" w:after="240"/>
              <w:ind w:hanging="210"/>
              <w:jc w:val="left"/>
              <w:rPr>
                <w:szCs w:val="24"/>
              </w:rPr>
            </w:pPr>
            <w:r>
              <w:rPr>
                <w:szCs w:val="24"/>
              </w:rPr>
              <w:t>мярка 14 „Хуманно отношение към животните“;</w:t>
            </w:r>
          </w:p>
          <w:p w:rsidR="002B3815" w:rsidRDefault="0099452B">
            <w:pPr>
              <w:spacing w:before="240" w:after="240"/>
              <w:jc w:val="left"/>
              <w:rPr>
                <w:szCs w:val="24"/>
              </w:rPr>
            </w:pPr>
            <w:r>
              <w:rPr>
                <w:szCs w:val="24"/>
              </w:rPr>
              <w:t>Прием на мерки и подмерки от ПРСР 2014-2020 през 2018 г.:</w:t>
            </w:r>
          </w:p>
          <w:p w:rsidR="002B3815" w:rsidRDefault="0099452B">
            <w:pPr>
              <w:spacing w:before="240" w:after="240"/>
              <w:jc w:val="left"/>
              <w:rPr>
                <w:szCs w:val="24"/>
              </w:rPr>
            </w:pPr>
            <w:r>
              <w:rPr>
                <w:szCs w:val="24"/>
              </w:rPr>
              <w:t>През 2018 г. са реализирани приеми по</w:t>
            </w:r>
            <w:r>
              <w:rPr>
                <w:szCs w:val="24"/>
              </w:rPr>
              <w:t xml:space="preserve"> следните мерки и подмерки:</w:t>
            </w:r>
          </w:p>
          <w:p w:rsidR="002B3815" w:rsidRDefault="0099452B" w:rsidP="0099452B">
            <w:pPr>
              <w:numPr>
                <w:ilvl w:val="0"/>
                <w:numId w:val="23"/>
              </w:numPr>
              <w:spacing w:before="240" w:after="0"/>
              <w:ind w:hanging="210"/>
              <w:jc w:val="left"/>
              <w:rPr>
                <w:szCs w:val="24"/>
              </w:rPr>
            </w:pPr>
            <w:r>
              <w:rPr>
                <w:szCs w:val="24"/>
              </w:rPr>
              <w:t>подмярка 4.2 „Инвестиции в преработка/маркетинг на селскостопански продукти”;</w:t>
            </w:r>
          </w:p>
          <w:p w:rsidR="002B3815" w:rsidRDefault="0099452B" w:rsidP="0099452B">
            <w:pPr>
              <w:numPr>
                <w:ilvl w:val="0"/>
                <w:numId w:val="23"/>
              </w:numPr>
              <w:spacing w:before="0" w:after="0"/>
              <w:ind w:hanging="210"/>
              <w:jc w:val="left"/>
              <w:rPr>
                <w:szCs w:val="24"/>
              </w:rPr>
            </w:pPr>
            <w:r>
              <w:rPr>
                <w:szCs w:val="24"/>
              </w:rPr>
              <w:t>подмярка 6.1 „Стартова помощ за млади земеделски стопани“ ;</w:t>
            </w:r>
          </w:p>
          <w:p w:rsidR="002B3815" w:rsidRDefault="0099452B" w:rsidP="0099452B">
            <w:pPr>
              <w:numPr>
                <w:ilvl w:val="0"/>
                <w:numId w:val="23"/>
              </w:numPr>
              <w:spacing w:before="0" w:after="0"/>
              <w:ind w:hanging="210"/>
              <w:jc w:val="left"/>
              <w:rPr>
                <w:szCs w:val="24"/>
              </w:rPr>
            </w:pPr>
            <w:r>
              <w:rPr>
                <w:szCs w:val="24"/>
              </w:rPr>
              <w:t>подмярка 6.4 „Инвестиции в подкрепа на неземеделски дейности“</w:t>
            </w:r>
          </w:p>
          <w:p w:rsidR="002B3815" w:rsidRDefault="0099452B" w:rsidP="0099452B">
            <w:pPr>
              <w:numPr>
                <w:ilvl w:val="0"/>
                <w:numId w:val="23"/>
              </w:numPr>
              <w:spacing w:before="0" w:after="0"/>
              <w:ind w:hanging="210"/>
              <w:jc w:val="left"/>
              <w:rPr>
                <w:szCs w:val="24"/>
              </w:rPr>
            </w:pPr>
            <w:r>
              <w:rPr>
                <w:szCs w:val="24"/>
              </w:rPr>
              <w:t xml:space="preserve">подмярка 7.2. Инвестиции в </w:t>
            </w:r>
            <w:r>
              <w:rPr>
                <w:szCs w:val="24"/>
              </w:rPr>
              <w:t>създаването, подобряването или разширяването на всички видове малка по мащаби инфраструктура;</w:t>
            </w:r>
          </w:p>
          <w:p w:rsidR="002B3815" w:rsidRDefault="0099452B" w:rsidP="0099452B">
            <w:pPr>
              <w:numPr>
                <w:ilvl w:val="0"/>
                <w:numId w:val="23"/>
              </w:numPr>
              <w:spacing w:before="0" w:after="0"/>
              <w:ind w:hanging="210"/>
              <w:jc w:val="left"/>
              <w:rPr>
                <w:szCs w:val="24"/>
              </w:rPr>
            </w:pPr>
            <w:r>
              <w:rPr>
                <w:szCs w:val="24"/>
              </w:rPr>
              <w:t>подмярка 8.6. Инвестиции в технологии за лесовъдство и в преработката, мобилизирането и търговията на горски продукти;</w:t>
            </w:r>
          </w:p>
          <w:p w:rsidR="002B3815" w:rsidRDefault="0099452B" w:rsidP="0099452B">
            <w:pPr>
              <w:numPr>
                <w:ilvl w:val="0"/>
                <w:numId w:val="23"/>
              </w:numPr>
              <w:spacing w:before="0" w:after="0"/>
              <w:ind w:hanging="210"/>
              <w:jc w:val="left"/>
              <w:rPr>
                <w:szCs w:val="24"/>
              </w:rPr>
            </w:pPr>
            <w:r>
              <w:rPr>
                <w:szCs w:val="24"/>
              </w:rPr>
              <w:t>подмярка 8.3 „Предотвратяване на щети по го</w:t>
            </w:r>
            <w:r>
              <w:rPr>
                <w:szCs w:val="24"/>
              </w:rPr>
              <w:t>рите от горски пожари, природни бедствия и катастрофични събития“;</w:t>
            </w:r>
          </w:p>
          <w:p w:rsidR="002B3815" w:rsidRDefault="0099452B" w:rsidP="0099452B">
            <w:pPr>
              <w:numPr>
                <w:ilvl w:val="0"/>
                <w:numId w:val="23"/>
              </w:numPr>
              <w:spacing w:before="0" w:after="0"/>
              <w:ind w:hanging="210"/>
              <w:jc w:val="left"/>
              <w:rPr>
                <w:szCs w:val="24"/>
              </w:rPr>
            </w:pPr>
            <w:r>
              <w:rPr>
                <w:szCs w:val="24"/>
              </w:rPr>
              <w:t>мярка 9 „Учредяване на групи и организации на производители”;</w:t>
            </w:r>
          </w:p>
          <w:p w:rsidR="002B3815" w:rsidRDefault="0099452B" w:rsidP="0099452B">
            <w:pPr>
              <w:numPr>
                <w:ilvl w:val="0"/>
                <w:numId w:val="23"/>
              </w:numPr>
              <w:spacing w:before="0" w:after="0"/>
              <w:ind w:hanging="210"/>
              <w:jc w:val="left"/>
              <w:rPr>
                <w:szCs w:val="24"/>
              </w:rPr>
            </w:pPr>
            <w:r>
              <w:rPr>
                <w:szCs w:val="24"/>
              </w:rPr>
              <w:t>подмярка 4.1.2. „Инвестиции в земеделски стопанства по тематична подпрограма за развитие на малки стопанства“;</w:t>
            </w:r>
          </w:p>
          <w:p w:rsidR="002B3815" w:rsidRDefault="0099452B" w:rsidP="0099452B">
            <w:pPr>
              <w:numPr>
                <w:ilvl w:val="0"/>
                <w:numId w:val="23"/>
              </w:numPr>
              <w:spacing w:before="0" w:after="0"/>
              <w:ind w:hanging="210"/>
              <w:jc w:val="left"/>
              <w:rPr>
                <w:szCs w:val="24"/>
              </w:rPr>
            </w:pPr>
            <w:r>
              <w:rPr>
                <w:szCs w:val="24"/>
              </w:rPr>
              <w:t>подмярка 19.3 „П</w:t>
            </w:r>
            <w:r>
              <w:rPr>
                <w:szCs w:val="24"/>
              </w:rPr>
              <w:t>одготовка и изпълнение на дейности за сътрудничество на местни инициативни групи“;</w:t>
            </w:r>
          </w:p>
          <w:p w:rsidR="002B3815" w:rsidRDefault="0099452B" w:rsidP="0099452B">
            <w:pPr>
              <w:numPr>
                <w:ilvl w:val="0"/>
                <w:numId w:val="23"/>
              </w:numPr>
              <w:spacing w:before="0" w:after="0"/>
              <w:ind w:hanging="210"/>
              <w:jc w:val="left"/>
              <w:rPr>
                <w:szCs w:val="24"/>
              </w:rPr>
            </w:pPr>
            <w:r>
              <w:rPr>
                <w:szCs w:val="24"/>
              </w:rPr>
              <w:t>подмярка 6.4.1 „Инвестиционна подкрепа за неземеделски дейности“;</w:t>
            </w:r>
          </w:p>
          <w:p w:rsidR="002B3815" w:rsidRDefault="0099452B" w:rsidP="0099452B">
            <w:pPr>
              <w:numPr>
                <w:ilvl w:val="0"/>
                <w:numId w:val="23"/>
              </w:numPr>
              <w:spacing w:before="0" w:after="0"/>
              <w:ind w:hanging="210"/>
              <w:jc w:val="left"/>
              <w:rPr>
                <w:szCs w:val="24"/>
              </w:rPr>
            </w:pPr>
            <w:r>
              <w:rPr>
                <w:szCs w:val="24"/>
              </w:rPr>
              <w:t>мярка 10 „Агроекология и климат“;</w:t>
            </w:r>
          </w:p>
          <w:p w:rsidR="002B3815" w:rsidRDefault="0099452B" w:rsidP="0099452B">
            <w:pPr>
              <w:numPr>
                <w:ilvl w:val="0"/>
                <w:numId w:val="23"/>
              </w:numPr>
              <w:spacing w:before="0" w:after="0"/>
              <w:ind w:hanging="210"/>
              <w:jc w:val="left"/>
              <w:rPr>
                <w:szCs w:val="24"/>
              </w:rPr>
            </w:pPr>
            <w:r>
              <w:rPr>
                <w:szCs w:val="24"/>
              </w:rPr>
              <w:t>мярка 11 „Биологично земеделие“;</w:t>
            </w:r>
          </w:p>
          <w:p w:rsidR="002B3815" w:rsidRDefault="0099452B" w:rsidP="0099452B">
            <w:pPr>
              <w:numPr>
                <w:ilvl w:val="0"/>
                <w:numId w:val="23"/>
              </w:numPr>
              <w:spacing w:before="0" w:after="0"/>
              <w:ind w:hanging="210"/>
              <w:jc w:val="left"/>
              <w:rPr>
                <w:szCs w:val="24"/>
              </w:rPr>
            </w:pPr>
            <w:r>
              <w:rPr>
                <w:szCs w:val="24"/>
              </w:rPr>
              <w:t>мярка 12 „Плащания по „Натура-2000” и Ра</w:t>
            </w:r>
            <w:r>
              <w:rPr>
                <w:szCs w:val="24"/>
              </w:rPr>
              <w:t>мковата директива  за водите“;</w:t>
            </w:r>
          </w:p>
          <w:p w:rsidR="002B3815" w:rsidRDefault="0099452B" w:rsidP="0099452B">
            <w:pPr>
              <w:numPr>
                <w:ilvl w:val="0"/>
                <w:numId w:val="23"/>
              </w:numPr>
              <w:spacing w:before="0" w:after="0"/>
              <w:ind w:hanging="210"/>
              <w:jc w:val="left"/>
              <w:rPr>
                <w:szCs w:val="24"/>
              </w:rPr>
            </w:pPr>
            <w:r>
              <w:rPr>
                <w:szCs w:val="24"/>
              </w:rPr>
              <w:t>мярка 13 „Плащания за райони,изправени пред природни или други специфични ограничения“;</w:t>
            </w:r>
          </w:p>
          <w:p w:rsidR="002B3815" w:rsidRDefault="0099452B" w:rsidP="0099452B">
            <w:pPr>
              <w:numPr>
                <w:ilvl w:val="0"/>
                <w:numId w:val="23"/>
              </w:numPr>
              <w:spacing w:before="0" w:after="240"/>
              <w:ind w:hanging="210"/>
              <w:jc w:val="left"/>
              <w:rPr>
                <w:szCs w:val="24"/>
              </w:rPr>
            </w:pPr>
            <w:r>
              <w:rPr>
                <w:szCs w:val="24"/>
              </w:rPr>
              <w:t>мярка 14 „Хуманно отношение към животните“;</w:t>
            </w:r>
          </w:p>
          <w:p w:rsidR="002B3815" w:rsidRDefault="0099452B">
            <w:pPr>
              <w:spacing w:before="240" w:after="240"/>
              <w:jc w:val="left"/>
              <w:rPr>
                <w:szCs w:val="24"/>
              </w:rPr>
            </w:pPr>
            <w:r>
              <w:rPr>
                <w:szCs w:val="24"/>
              </w:rPr>
              <w:t>Мерки и подмерки в процес на прилагане през 2015 г., 2016 г., 2017 г. и 2018 г.</w:t>
            </w:r>
          </w:p>
          <w:p w:rsidR="002B3815" w:rsidRDefault="0099452B">
            <w:pPr>
              <w:spacing w:before="240" w:after="240"/>
              <w:jc w:val="left"/>
              <w:rPr>
                <w:szCs w:val="24"/>
              </w:rPr>
            </w:pPr>
            <w:r>
              <w:rPr>
                <w:b/>
                <w:bCs/>
                <w:szCs w:val="24"/>
              </w:rPr>
              <w:t>Подмярка 2.1.</w:t>
            </w:r>
            <w:r>
              <w:rPr>
                <w:b/>
                <w:bCs/>
                <w:szCs w:val="24"/>
              </w:rPr>
              <w:t xml:space="preserve"> „Помощ за осигуряване на консултантски услуги”</w:t>
            </w:r>
          </w:p>
          <w:p w:rsidR="002B3815" w:rsidRDefault="0099452B">
            <w:pPr>
              <w:spacing w:before="240" w:after="240"/>
              <w:jc w:val="left"/>
              <w:rPr>
                <w:szCs w:val="24"/>
              </w:rPr>
            </w:pPr>
            <w:r>
              <w:rPr>
                <w:szCs w:val="24"/>
              </w:rPr>
              <w:t>През 2016 г. по подмярката не са предоставяни консултански пакети, но са заявени от страна на НССЗ изготвените през 2015 г. 1 269 пакета А2Б, което представлява 49 % от всички подадени 2 572 заявления за подп</w:t>
            </w:r>
            <w:r>
              <w:rPr>
                <w:szCs w:val="24"/>
              </w:rPr>
              <w:t>омагане по подмярка 6.1 през 2015 г. В рамките на 2016 г. размера на изплатените средства възлиза на 943 448 евро, които средства са разплатени по три заявки за плащане, подадени към Разплащателна агенция. През 2017 г. по подмярката не са предоставяни конс</w:t>
            </w:r>
            <w:r>
              <w:rPr>
                <w:szCs w:val="24"/>
              </w:rPr>
              <w:t>ултантски пакети.</w:t>
            </w:r>
          </w:p>
          <w:p w:rsidR="002B3815" w:rsidRDefault="0099452B">
            <w:pPr>
              <w:spacing w:before="240" w:after="240"/>
              <w:jc w:val="left"/>
              <w:rPr>
                <w:szCs w:val="24"/>
              </w:rPr>
            </w:pPr>
            <w:r>
              <w:rPr>
                <w:szCs w:val="24"/>
              </w:rPr>
              <w:t>Във връзка с прилагане на подмярката през 2016 г. са поети разходни задължения по област с поставен акцент 2В в размер на 928 796 евро.</w:t>
            </w:r>
          </w:p>
          <w:p w:rsidR="002B3815" w:rsidRDefault="0099452B">
            <w:pPr>
              <w:spacing w:before="240" w:after="240"/>
              <w:jc w:val="left"/>
              <w:rPr>
                <w:szCs w:val="24"/>
              </w:rPr>
            </w:pPr>
            <w:r>
              <w:rPr>
                <w:szCs w:val="24"/>
              </w:rPr>
              <w:t>Във връзка с прилагане на подмярка 2.1.1 „Помощ за осигуряване на консултантски услуги” от страна на Н</w:t>
            </w:r>
            <w:r>
              <w:rPr>
                <w:szCs w:val="24"/>
              </w:rPr>
              <w:t>ационална служба за съвети в земеделието (НССЗ) не са предоставяни консултантски пакети (КП) за 2017 г.</w:t>
            </w:r>
          </w:p>
          <w:p w:rsidR="002B3815" w:rsidRDefault="0099452B">
            <w:pPr>
              <w:spacing w:before="240" w:after="240"/>
              <w:jc w:val="left"/>
              <w:rPr>
                <w:szCs w:val="24"/>
              </w:rPr>
            </w:pPr>
            <w:r>
              <w:rPr>
                <w:szCs w:val="24"/>
              </w:rPr>
              <w:t>На 15.03.2018 г. стартира прием на проектни предложения по подмярка  6.1 "Стартова помощ за млади земеделски стопани" от мярка 6 „Развитие на стопанства</w:t>
            </w:r>
            <w:r>
              <w:rPr>
                <w:szCs w:val="24"/>
              </w:rPr>
              <w:t xml:space="preserve"> и предприятия“ от Програмата за развитие на селските райони за периода за периода 2014-2020 г. (ПРСР 2014-2020 г.)</w:t>
            </w:r>
          </w:p>
          <w:p w:rsidR="002B3815" w:rsidRDefault="0099452B">
            <w:pPr>
              <w:spacing w:before="240" w:after="240"/>
              <w:jc w:val="left"/>
              <w:rPr>
                <w:szCs w:val="24"/>
              </w:rPr>
            </w:pPr>
            <w:r>
              <w:rPr>
                <w:szCs w:val="24"/>
              </w:rPr>
              <w:t xml:space="preserve">Условията за кандидатстване по процедурата са уредени в насоки, утвърдени от ръководителя на Управляващия орган на ПРСР 2014-2020 г., които </w:t>
            </w:r>
            <w:r>
              <w:rPr>
                <w:szCs w:val="24"/>
              </w:rPr>
              <w:t>са публикувани на интернет страницата на Програмата за развитие на селските райони и в Информационна система за управление и наблюдение  на средствата от ЕС в България 2020 (ИСУН 2020).</w:t>
            </w:r>
          </w:p>
          <w:p w:rsidR="002B3815" w:rsidRDefault="0099452B">
            <w:pPr>
              <w:spacing w:before="240" w:after="240"/>
              <w:jc w:val="left"/>
              <w:rPr>
                <w:szCs w:val="24"/>
              </w:rPr>
            </w:pPr>
            <w:r>
              <w:rPr>
                <w:szCs w:val="24"/>
              </w:rPr>
              <w:t>На 16.03.2018 г., с публикуването на обявата за стартиране прием на пр</w:t>
            </w:r>
            <w:r>
              <w:rPr>
                <w:szCs w:val="24"/>
              </w:rPr>
              <w:t>оектни предложения по подмярка  6.1 "Стартова помощ за млади земеделски стопани",  изпълнителният директор на НССЗ издаде заповед № РД-11/03-166 от 16.03.2018 г. за определяне на период на прием на заявления за предоставяне на КП А2Б в съответствие с разпо</w:t>
            </w:r>
            <w:r>
              <w:rPr>
                <w:szCs w:val="24"/>
              </w:rPr>
              <w:t>редбите на Наредба № 13 от 22.05.2015 г. за прилагане на подмярка 2.1. „Помощ за осигуряване на консултантски услуги“по мярка 2 "Консултантски услуги, услуги по управление на стопанството и услуги по заместване в стопанството" от ПРСР 2014 - 2020 г.. За на</w:t>
            </w:r>
            <w:r>
              <w:rPr>
                <w:szCs w:val="24"/>
              </w:rPr>
              <w:t>чална дата беше обявен 19.03.2018 г., а за крайна дата 07.06.2018 г.</w:t>
            </w:r>
          </w:p>
          <w:p w:rsidR="002B3815" w:rsidRDefault="0099452B">
            <w:pPr>
              <w:spacing w:before="240" w:after="240"/>
              <w:jc w:val="left"/>
              <w:rPr>
                <w:szCs w:val="24"/>
              </w:rPr>
            </w:pPr>
            <w:r>
              <w:rPr>
                <w:szCs w:val="24"/>
              </w:rPr>
              <w:t>Съгласно изискванията на Наредба № 13 и правила на НССЗ за предоставяне на консултантски пакет А2Б по подмярка 2.1. "Помощ за осигуряване на консултантски услуги" от ПРСР 2014-2020 г. НСС</w:t>
            </w:r>
            <w:r>
              <w:rPr>
                <w:szCs w:val="24"/>
              </w:rPr>
              <w:t>З чрез своите Териториални областни офиси приема заявления за получаване на консултантски пакет А2Б по подмярка 2.1 по образец (публикуван на сайта) на земеделски стопани кандидати по подмярка 6.1. „Стартова помощ за млади земеделски стопани“, отговарящи н</w:t>
            </w:r>
            <w:r>
              <w:rPr>
                <w:szCs w:val="24"/>
              </w:rPr>
              <w:t>а условията, посочени в чл. 16 на Наредба № 13 от 19 май 2015 г.. Кандидатите декларират пред НССЗ, че ще кандидатстват и отговарят на изискванията, посочени в актуалните „Условия за кандидатстване“ по подмярка 6.1, одобрени по реда на чл. 26, ал. 1 от Зак</w:t>
            </w:r>
            <w:r>
              <w:rPr>
                <w:szCs w:val="24"/>
              </w:rPr>
              <w:t>она за управление на средствата от европейските структурни и инвестиционни фондове.</w:t>
            </w:r>
          </w:p>
          <w:p w:rsidR="002B3815" w:rsidRDefault="0099452B">
            <w:pPr>
              <w:spacing w:before="240" w:after="240"/>
              <w:jc w:val="left"/>
              <w:rPr>
                <w:szCs w:val="24"/>
              </w:rPr>
            </w:pPr>
            <w:r>
              <w:rPr>
                <w:szCs w:val="24"/>
              </w:rPr>
              <w:t>НССЗ приема и вписва заявления и предоставя КП А2Б на земеделски стопани след сключване на индивидуален договор за консултантски услуги.</w:t>
            </w:r>
          </w:p>
          <w:p w:rsidR="002B3815" w:rsidRDefault="0099452B">
            <w:pPr>
              <w:spacing w:before="240" w:after="240"/>
              <w:jc w:val="left"/>
              <w:rPr>
                <w:szCs w:val="24"/>
              </w:rPr>
            </w:pPr>
            <w:r>
              <w:rPr>
                <w:szCs w:val="24"/>
              </w:rPr>
              <w:t xml:space="preserve">Във връзка с прилагане на подмярка </w:t>
            </w:r>
            <w:r>
              <w:rPr>
                <w:szCs w:val="24"/>
              </w:rPr>
              <w:t>„Консултантски услуги за малки земеделски стопанства”, консултантските пакети, които са предоставяни от НССЗ са съгласно Наредба № 7 от 5 май 2016 г. за прилагане на подмярка 2.1.2 „Консултантски услуги за малки земеделски стопанства“ по мярка 2 „Консултан</w:t>
            </w:r>
            <w:r>
              <w:rPr>
                <w:szCs w:val="24"/>
              </w:rPr>
              <w:t>тски услуги, услуги по управление на стопанството и услуги по заместване в стопанството“ от Програмата за развитие на селските райони за периода 2014-2020 г. (Наредба № 7 от 5 май 2016 г.) и включват консултантски услуги за:</w:t>
            </w:r>
          </w:p>
          <w:p w:rsidR="002B3815" w:rsidRDefault="0099452B">
            <w:pPr>
              <w:spacing w:before="240" w:after="240"/>
              <w:jc w:val="left"/>
              <w:rPr>
                <w:szCs w:val="24"/>
              </w:rPr>
            </w:pPr>
            <w:r>
              <w:rPr>
                <w:szCs w:val="24"/>
              </w:rPr>
              <w:t>КП ТП 1 -  същността и характер</w:t>
            </w:r>
            <w:r>
              <w:rPr>
                <w:szCs w:val="24"/>
              </w:rPr>
              <w:t>истиките на системата за кръстосано съответствие и за основните нормативни актове, на които е изградена тази система, включваща всички приложими в стопанството Национални стандарти за добро земеделско и екологично състояние на земята (ДЗЕС), всички приложи</w:t>
            </w:r>
            <w:r>
              <w:rPr>
                <w:szCs w:val="24"/>
              </w:rPr>
              <w:t>ми в стопанството Законоустановени изисквания за управление (ЗИУ), както и оценка на произтичащите от тях задължения за земеделското стопанство  свързани с областите  околна среда и изменение на климата, обществено здраве, здраве на животните и на растения</w:t>
            </w:r>
            <w:r>
              <w:rPr>
                <w:szCs w:val="24"/>
              </w:rPr>
              <w:t>та, хуманно отношение към животните.</w:t>
            </w:r>
          </w:p>
          <w:p w:rsidR="002B3815" w:rsidRDefault="0099452B">
            <w:pPr>
              <w:spacing w:before="240" w:after="240"/>
              <w:jc w:val="left"/>
              <w:rPr>
                <w:szCs w:val="24"/>
              </w:rPr>
            </w:pPr>
            <w:r>
              <w:rPr>
                <w:szCs w:val="24"/>
              </w:rPr>
              <w:t>КП ТП 2 - селскостопански практики от полза за климата и околната среда, политиката за водите, информация и съвети относно мерки за смекчаване на последиците от изменението на климата и адаптиране към него, биологичното</w:t>
            </w:r>
            <w:r>
              <w:rPr>
                <w:szCs w:val="24"/>
              </w:rPr>
              <w:t xml:space="preserve"> разнообразие и опазването на водите - селскостопански практики от полза за климата и околната среда, прилагане на мерки, свързани с регулиране на водовземанията и контрол на водочерпенето, опазване на водите от замърсяване, ефективно и устойчиво използван</w:t>
            </w:r>
            <w:r>
              <w:rPr>
                <w:szCs w:val="24"/>
              </w:rPr>
              <w:t>е на водите, опазване, възстановяване и устойчиво използване на водите,  предоставяне на съвети свързани със смекчаване на последиците от изменението на климата.</w:t>
            </w:r>
          </w:p>
          <w:p w:rsidR="002B3815" w:rsidRDefault="0099452B">
            <w:pPr>
              <w:spacing w:before="240" w:after="240"/>
              <w:jc w:val="left"/>
              <w:rPr>
                <w:szCs w:val="24"/>
              </w:rPr>
            </w:pPr>
            <w:r>
              <w:rPr>
                <w:szCs w:val="24"/>
              </w:rPr>
              <w:t>КП ТП 3 - нормативните изисквания за гарантиране на законното право на работниците и служители</w:t>
            </w:r>
            <w:r>
              <w:rPr>
                <w:szCs w:val="24"/>
              </w:rPr>
              <w:t>те за здравословен и безопасен труд и съответните правила и стандарти и по-специално за отрасловите правила за осигуряване на здравословни и безопасни условия на труд (ЗБУТ) в сектор земеделие и за правилата за осигуряване на здравословни и безопасни услов</w:t>
            </w:r>
            <w:r>
              <w:rPr>
                <w:szCs w:val="24"/>
              </w:rPr>
              <w:t>ия на труд в предприятието (земеделското стопанство) съгласно Закона за здравословни и безопасни условия на труд и свързаните с него подзаконови нормативни актове, описани в приложимата нормативна база към пакета. Също така се предоставят информация и съве</w:t>
            </w:r>
            <w:r>
              <w:rPr>
                <w:szCs w:val="24"/>
              </w:rPr>
              <w:t>ти за различни стандарти за безопасност в стопанствата.</w:t>
            </w:r>
          </w:p>
          <w:p w:rsidR="002B3815" w:rsidRDefault="0099452B">
            <w:pPr>
              <w:spacing w:before="240" w:after="240"/>
              <w:jc w:val="left"/>
              <w:rPr>
                <w:szCs w:val="24"/>
              </w:rPr>
            </w:pPr>
            <w:r>
              <w:rPr>
                <w:szCs w:val="24"/>
              </w:rPr>
              <w:t>КП ТП 4 - прилагане на нормативната уредба по правилната употреба на продукти за растителна защита съгласно принципите на добрата растителнозащитна практика и възможностите за извеждане борбата с вред</w:t>
            </w:r>
            <w:r>
              <w:rPr>
                <w:szCs w:val="24"/>
              </w:rPr>
              <w:t>ителите по земеделските култури чрез методите на интегрирано управление на вредителите, съгласно Закона за защита на растенията - условия и ред по прилагане на интегрирано производство на растения и растителни продукти, общи принципи при интегрираното упра</w:t>
            </w:r>
            <w:r>
              <w:rPr>
                <w:szCs w:val="24"/>
              </w:rPr>
              <w:t>вление на вредителите чрез различни агротехнически дейности, провеждане на растителнозащитни мероприятия на отглежданите и планираните за отглеждане в стопанството култури съгласно добрите растително-защитни практики.</w:t>
            </w:r>
          </w:p>
          <w:p w:rsidR="002B3815" w:rsidRDefault="0099452B">
            <w:pPr>
              <w:spacing w:before="240" w:after="240"/>
              <w:jc w:val="left"/>
              <w:rPr>
                <w:szCs w:val="24"/>
              </w:rPr>
            </w:pPr>
            <w:r>
              <w:rPr>
                <w:szCs w:val="24"/>
              </w:rPr>
              <w:t>КП ТП 5 (от 5.1 до 5.7) - изготвяне на</w:t>
            </w:r>
            <w:r>
              <w:rPr>
                <w:szCs w:val="24"/>
              </w:rPr>
              <w:t xml:space="preserve"> бизнес план и заявление за кандидатстване, като са предвидени и комбинации  - по подмярка 6.3 „Стартова помощ за развитието на малки стопанства“ от ПРСР 2014-2020 г., подмярка 4.1.2. „Инвестиции в земеделски стопанства по Тематична подпрограма за развитие</w:t>
            </w:r>
            <w:r>
              <w:rPr>
                <w:szCs w:val="24"/>
              </w:rPr>
              <w:t xml:space="preserve"> на малки стопанства“, подмярка 4.2.2. „Инвестиции в преработка/маркетинг на селскостопански продукти по Тематична подпрограма за развитие на малки стопанства“, подмярка 4.4.2. „Непроизводствени инвестиции по Тематичната подпрограма за развитие на малки ст</w:t>
            </w:r>
            <w:r>
              <w:rPr>
                <w:szCs w:val="24"/>
              </w:rPr>
              <w:t>опанства“ и подмярка 6.4.2. „Инвестиции в подкрепа на неземеделски дейности по Тематичната подпрограма за развитие на малки стопанства. Основните дейности, които са включени по тези КП са следните:</w:t>
            </w:r>
          </w:p>
          <w:p w:rsidR="002B3815" w:rsidRDefault="0099452B">
            <w:pPr>
              <w:spacing w:before="240" w:after="240"/>
              <w:jc w:val="left"/>
              <w:rPr>
                <w:szCs w:val="24"/>
              </w:rPr>
            </w:pPr>
            <w:r>
              <w:rPr>
                <w:szCs w:val="24"/>
              </w:rPr>
              <w:t>•          изготвяне и попълване на бизнес план за кандида</w:t>
            </w:r>
            <w:r>
              <w:rPr>
                <w:szCs w:val="24"/>
              </w:rPr>
              <w:t>тстване, съгласно съответното приложение в наредбата за прилагане на подмярката;</w:t>
            </w:r>
          </w:p>
          <w:p w:rsidR="002B3815" w:rsidRDefault="0099452B">
            <w:pPr>
              <w:spacing w:before="240" w:after="240"/>
              <w:jc w:val="left"/>
              <w:rPr>
                <w:szCs w:val="24"/>
              </w:rPr>
            </w:pPr>
            <w:r>
              <w:rPr>
                <w:szCs w:val="24"/>
              </w:rPr>
              <w:t>•          изчисляване на точките по критериите за оценка на проектите за съответната подмярка;</w:t>
            </w:r>
          </w:p>
          <w:p w:rsidR="002B3815" w:rsidRDefault="0099452B">
            <w:pPr>
              <w:spacing w:before="240" w:after="240"/>
              <w:jc w:val="left"/>
              <w:rPr>
                <w:szCs w:val="24"/>
              </w:rPr>
            </w:pPr>
            <w:r>
              <w:rPr>
                <w:szCs w:val="24"/>
              </w:rPr>
              <w:t>•          изготвяне и попълване на заявление за подпомагане, съгласно съответн</w:t>
            </w:r>
            <w:r>
              <w:rPr>
                <w:szCs w:val="24"/>
              </w:rPr>
              <w:t>ото приложение в наредбата за прилагане на съответната подмярка;</w:t>
            </w:r>
          </w:p>
          <w:p w:rsidR="002B3815" w:rsidRDefault="0099452B">
            <w:pPr>
              <w:spacing w:before="240" w:after="240"/>
              <w:jc w:val="left"/>
              <w:rPr>
                <w:szCs w:val="24"/>
              </w:rPr>
            </w:pPr>
            <w:r>
              <w:rPr>
                <w:szCs w:val="24"/>
              </w:rPr>
              <w:t>•          окомплектоване на изискуемите документите към заявлението за подпомагане;</w:t>
            </w:r>
          </w:p>
          <w:p w:rsidR="002B3815" w:rsidRDefault="0099452B">
            <w:pPr>
              <w:spacing w:before="240" w:after="240"/>
              <w:jc w:val="left"/>
              <w:rPr>
                <w:szCs w:val="24"/>
              </w:rPr>
            </w:pPr>
            <w:r>
              <w:rPr>
                <w:szCs w:val="24"/>
              </w:rPr>
              <w:t>•          предоставяне на съвети за изпълнението на бизнес плана.</w:t>
            </w:r>
          </w:p>
          <w:p w:rsidR="002B3815" w:rsidRDefault="0099452B">
            <w:pPr>
              <w:spacing w:before="240" w:after="240"/>
              <w:jc w:val="left"/>
              <w:rPr>
                <w:szCs w:val="24"/>
              </w:rPr>
            </w:pPr>
            <w:r>
              <w:rPr>
                <w:szCs w:val="24"/>
              </w:rPr>
              <w:t xml:space="preserve">(Поради липса на прием през 2017 г. на </w:t>
            </w:r>
            <w:r>
              <w:rPr>
                <w:szCs w:val="24"/>
              </w:rPr>
              <w:t>заявления за подпомагане по подмерките от ПРСР 2014-2020г. свързани с КП ТП5 – подмерки 6.3., 4.1.2, 4.2.2., 4.4.2 и 6.4.2 НССЗ не е предоставяла консултантски пакети от група ТП5 през 2017 г.)</w:t>
            </w:r>
          </w:p>
          <w:p w:rsidR="002B3815" w:rsidRDefault="0099452B">
            <w:pPr>
              <w:spacing w:before="240" w:after="240"/>
              <w:jc w:val="left"/>
              <w:rPr>
                <w:szCs w:val="24"/>
              </w:rPr>
            </w:pPr>
            <w:r>
              <w:rPr>
                <w:szCs w:val="24"/>
              </w:rPr>
              <w:t>КП ТП 6 - съдържа предоставяне на съвети и информация, които д</w:t>
            </w:r>
            <w:r>
              <w:rPr>
                <w:szCs w:val="24"/>
              </w:rPr>
              <w:t>а подпомогнат малките земеделски стопанства при развитието на техните стопанства - възможностите за подпомагане малките земеделски стопанства чрез мерки и подмерки приложими на равнище малко земеделско стопанство предвидени в ПРСР 2014-2020 г., които са на</w:t>
            </w:r>
            <w:r>
              <w:rPr>
                <w:szCs w:val="24"/>
              </w:rPr>
              <w:t>сочени към модернизиране на стопанството, изграждане на конкурентоспособност, секторна интеграция, иновации и пазарно ориентиране; съвети и информация по въпроси и проблеми, свързани с икономическите показатели на земеделското стопанство, включително по въ</w:t>
            </w:r>
            <w:r>
              <w:rPr>
                <w:szCs w:val="24"/>
              </w:rPr>
              <w:t>проси на конкурентоспособността и насърчаващи предприемачество на малкия земеделски стопанин;  по въпроси на управление на риска в земеделското стопанство, свързан с неблагоприятни климатични явления, нашествия на вредители, болести по растенията и животни</w:t>
            </w:r>
            <w:r>
              <w:rPr>
                <w:szCs w:val="24"/>
              </w:rPr>
              <w:t>те. В зависимост от спецификата и потребностите на всяко малко земеделско стопанство, КП ТП 6 може да включва и предоставяне на съвети и информация за: възможностите за развитие на късите вериги на доставки и за по-добра интеграция на малкото земеделско ст</w:t>
            </w:r>
            <w:r>
              <w:rPr>
                <w:szCs w:val="24"/>
              </w:rPr>
              <w:t xml:space="preserve">опанство в хранителната верига; възможностите за участие в Европейското партньорство за иновации (ЕПИ) за селскостопанска производителност и устойчивост; прилагане на правилата за биологично производство, включително подготовка на заявление за подпомагане </w:t>
            </w:r>
            <w:r>
              <w:rPr>
                <w:szCs w:val="24"/>
              </w:rPr>
              <w:t>по мярка 11 „Биологично земеделие” и мярка 10 „Агроекология и климат” от ПРСР 2014-2020 г. и предоставяне на съвети за изпълнението на ангажиментите, както и подкрепа на малките земеделски стопанства за участие в мярка 9 „Създаване на групи и организации н</w:t>
            </w:r>
            <w:r>
              <w:rPr>
                <w:szCs w:val="24"/>
              </w:rPr>
              <w:t>а производителите“ от ПРСР 2014-2020 г.</w:t>
            </w:r>
          </w:p>
          <w:p w:rsidR="002B3815" w:rsidRDefault="0099452B">
            <w:pPr>
              <w:spacing w:before="240" w:after="240"/>
              <w:jc w:val="left"/>
              <w:rPr>
                <w:szCs w:val="24"/>
              </w:rPr>
            </w:pPr>
            <w:r>
              <w:rPr>
                <w:szCs w:val="24"/>
              </w:rPr>
              <w:t xml:space="preserve">Предоставянето на КП включва също и посещения на място, оценка и анализ на състоянието на стопанствата, както и ако е приложимо вземане на почвени проби за агрохимичен анализ и изготвяне на препоръки за торене. </w:t>
            </w:r>
            <w:r>
              <w:rPr>
                <w:szCs w:val="24"/>
              </w:rPr>
              <w:t>Експертите на НССЗ предоставяха информация и конкретни съвети и препоръки на малките земеделски стопанства във връзка със заявените КП.</w:t>
            </w:r>
          </w:p>
          <w:p w:rsidR="002B3815" w:rsidRDefault="0099452B">
            <w:pPr>
              <w:spacing w:before="240" w:after="240"/>
              <w:jc w:val="left"/>
              <w:rPr>
                <w:szCs w:val="24"/>
              </w:rPr>
            </w:pPr>
            <w:r>
              <w:rPr>
                <w:szCs w:val="24"/>
              </w:rPr>
              <w:t>Броят на малките земеделски стопани, до които е достигнала услугата (предоставяне на КП по подмярка 2.1.2 и изготвяне на</w:t>
            </w:r>
            <w:r>
              <w:rPr>
                <w:szCs w:val="24"/>
              </w:rPr>
              <w:t xml:space="preserve"> писмени доклади)  през 2017 г. е 1715.</w:t>
            </w:r>
          </w:p>
          <w:p w:rsidR="002B3815" w:rsidRDefault="0099452B">
            <w:pPr>
              <w:spacing w:before="240" w:after="240"/>
              <w:jc w:val="left"/>
              <w:rPr>
                <w:szCs w:val="24"/>
              </w:rPr>
            </w:pPr>
            <w:r>
              <w:rPr>
                <w:szCs w:val="24"/>
              </w:rPr>
              <w:t>От всички подадени заявления за получаване на КП по подмярка 2.1.2 земеделските стопани са проявили най-голям интерес към КП ТП 2 и КП ТП 1, както се вижда и от Таблицата по-долу.</w:t>
            </w:r>
          </w:p>
          <w:p w:rsidR="002B3815" w:rsidRDefault="0099452B">
            <w:pPr>
              <w:spacing w:before="240" w:after="240"/>
              <w:jc w:val="left"/>
              <w:rPr>
                <w:szCs w:val="24"/>
              </w:rPr>
            </w:pPr>
            <w:r>
              <w:rPr>
                <w:szCs w:val="24"/>
              </w:rPr>
              <w:t>През 2017 г. извършените плащания къ</w:t>
            </w:r>
            <w:r>
              <w:rPr>
                <w:szCs w:val="24"/>
              </w:rPr>
              <w:t>м НССЗ във връзка с изпълнените консултантски дейности, предоставени на малки земеделски стопани по подмярка 2.1.2. „Консултантски услуги за малки земеделски стопанства” са на стойност 2 255 903 евро.</w:t>
            </w:r>
          </w:p>
          <w:p w:rsidR="002B3815" w:rsidRDefault="0099452B">
            <w:pPr>
              <w:spacing w:before="240" w:after="240"/>
              <w:jc w:val="left"/>
              <w:rPr>
                <w:szCs w:val="24"/>
              </w:rPr>
            </w:pPr>
            <w:r>
              <w:rPr>
                <w:szCs w:val="24"/>
              </w:rPr>
              <w:t>През 2018 г. стартира втори прием на проектни предложен</w:t>
            </w:r>
            <w:r>
              <w:rPr>
                <w:szCs w:val="24"/>
              </w:rPr>
              <w:t>ия по подмярка 6.1 „Стартова помощ за млади земеделски стопани“. Съгласно сключен договор с № РД 51-50/21.12.2017 г. за възлагане на обществена поръчка за услуги между НССЗ и Министерство на земеделието, храните и горите, на Службата беше възложено по мярк</w:t>
            </w:r>
            <w:r>
              <w:rPr>
                <w:szCs w:val="24"/>
              </w:rPr>
              <w:t>а 2 „Консултантски услуги, услуги по управление на стопанството и услуги по заместване в стопанството“ да предоставя КП А2Б на земеделски стопани кандидати по подмярка 6.1.</w:t>
            </w:r>
          </w:p>
          <w:p w:rsidR="002B3815" w:rsidRDefault="0099452B">
            <w:pPr>
              <w:spacing w:before="240" w:after="240"/>
              <w:jc w:val="left"/>
              <w:rPr>
                <w:szCs w:val="24"/>
              </w:rPr>
            </w:pPr>
            <w:r>
              <w:rPr>
                <w:szCs w:val="24"/>
              </w:rPr>
              <w:t>На 16.03.2018 г. беше издадена заповед на изпълнителния директор на НССЗ за определ</w:t>
            </w:r>
            <w:r>
              <w:rPr>
                <w:szCs w:val="24"/>
              </w:rPr>
              <w:t>яне на период на прием на заявления за предоставяне на консултантски пакет А2Б на млади земеделски стопани. Съгласно Наредба №13 от 19 май 2015 г. и Правилата за предоставяне на консултантски пакет А2Б по подмярка 2.1.1 на НССЗ, за получаване на консултант</w:t>
            </w:r>
            <w:r>
              <w:rPr>
                <w:szCs w:val="24"/>
              </w:rPr>
              <w:t>ски пакет А2Б земеделските стопани трябва да подадат заявление и да сключат договор за консултантски услуги. За периода на прием на заявления от НССЗ за получаване на консултантски пакет А2Б (19.03. – 07.06.2018г.) са приети 936 заявления.</w:t>
            </w:r>
          </w:p>
          <w:p w:rsidR="002B3815" w:rsidRDefault="0099452B">
            <w:pPr>
              <w:spacing w:before="240" w:after="240"/>
              <w:jc w:val="left"/>
              <w:rPr>
                <w:szCs w:val="24"/>
              </w:rPr>
            </w:pPr>
            <w:r>
              <w:rPr>
                <w:szCs w:val="24"/>
              </w:rPr>
              <w:t>Проектните предл</w:t>
            </w:r>
            <w:r>
              <w:rPr>
                <w:szCs w:val="24"/>
              </w:rPr>
              <w:t>ожения се подаваха през Информационната система за управление и наблюдение на средствата от ЕС в България 2020, като експертите от ТОО оказаха съдействие на фермерите. В периода на прием на проекти по подмярка 6.1 всички подадени проекти по процедурата в И</w:t>
            </w:r>
            <w:r>
              <w:rPr>
                <w:szCs w:val="24"/>
              </w:rPr>
              <w:t>СУН са 1 658 бр., като част от тях са подавани повторно и общият брой е отчетен на 1 837 проекта.</w:t>
            </w:r>
          </w:p>
          <w:p w:rsidR="002B3815" w:rsidRDefault="0099452B">
            <w:pPr>
              <w:spacing w:before="240" w:after="240"/>
              <w:jc w:val="left"/>
              <w:rPr>
                <w:szCs w:val="24"/>
              </w:rPr>
            </w:pPr>
            <w:r>
              <w:rPr>
                <w:szCs w:val="24"/>
              </w:rPr>
              <w:t>На 6 бр. кандидати, подали заявления за предоставяне на КП А2Б, не беше изготвен бизнес-план и основна информация за проектно предложение по подмярка 6.1, тъй</w:t>
            </w:r>
            <w:r>
              <w:rPr>
                <w:szCs w:val="24"/>
              </w:rPr>
              <w:t xml:space="preserve"> като кандидатите не са представили необходимите документи.</w:t>
            </w:r>
          </w:p>
          <w:p w:rsidR="002B3815" w:rsidRDefault="0099452B">
            <w:pPr>
              <w:spacing w:before="240" w:after="240"/>
              <w:jc w:val="left"/>
              <w:rPr>
                <w:szCs w:val="24"/>
              </w:rPr>
            </w:pPr>
            <w:r>
              <w:rPr>
                <w:szCs w:val="24"/>
              </w:rPr>
              <w:t>Експертите от ТОО на НССЗ изготвиха и бяха подадени в ИСУН 930 проектни предложения, в т.ч бизнес планове и основна информация за проектно предложение по подмярка 6.1. или повече от 56 % от всички</w:t>
            </w:r>
            <w:r>
              <w:rPr>
                <w:szCs w:val="24"/>
              </w:rPr>
              <w:t xml:space="preserve"> 1 658 (без повторно подадените ) подадени в ИСУН по подмярка 6.1 в страната.</w:t>
            </w:r>
          </w:p>
          <w:p w:rsidR="002B3815" w:rsidRDefault="0099452B">
            <w:pPr>
              <w:spacing w:before="240" w:after="240"/>
              <w:jc w:val="left"/>
              <w:rPr>
                <w:szCs w:val="24"/>
              </w:rPr>
            </w:pPr>
            <w:r>
              <w:rPr>
                <w:szCs w:val="24"/>
              </w:rPr>
              <w:t>От 930 бр. подадени бизнес план по подмярка 6.1., с най – голям дял са растениевъдните стопанства, последвани от животновъдните стопанства и най-малък дял генерират смесените сто</w:t>
            </w:r>
            <w:r>
              <w:rPr>
                <w:szCs w:val="24"/>
              </w:rPr>
              <w:t>панства.</w:t>
            </w:r>
          </w:p>
          <w:p w:rsidR="002B3815" w:rsidRDefault="0099452B">
            <w:pPr>
              <w:spacing w:before="240" w:after="240"/>
              <w:jc w:val="left"/>
              <w:rPr>
                <w:szCs w:val="24"/>
              </w:rPr>
            </w:pPr>
            <w:r>
              <w:rPr>
                <w:szCs w:val="24"/>
              </w:rPr>
              <w:t xml:space="preserve">Към 31.12.2018 г. по мярка 2 са разплатени 5 379 350,00 евро, като разпределението на изплатените средства по ОПА е посочено в </w:t>
            </w:r>
            <w:r>
              <w:rPr>
                <w:b/>
                <w:bCs/>
                <w:i/>
                <w:iCs/>
                <w:szCs w:val="24"/>
              </w:rPr>
              <w:t>Таблица 1:</w:t>
            </w:r>
            <w:r>
              <w:rPr>
                <w:i/>
                <w:iCs/>
                <w:szCs w:val="24"/>
              </w:rPr>
              <w:t xml:space="preserve"> Предоставени консултантски услуги и изплатени средства по мярка 2  към 31.12.2018 г. по приоритети и области </w:t>
            </w:r>
            <w:r>
              <w:rPr>
                <w:i/>
                <w:iCs/>
                <w:szCs w:val="24"/>
              </w:rPr>
              <w:t>с поставен акцент</w:t>
            </w:r>
            <w:r>
              <w:rPr>
                <w:szCs w:val="24"/>
              </w:rPr>
              <w:t>.</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Подмярка 4.1 „Инвестиции в земеделски стопанства”</w:t>
            </w:r>
          </w:p>
          <w:p w:rsidR="002B3815" w:rsidRDefault="0099452B">
            <w:pPr>
              <w:spacing w:before="240" w:after="240"/>
              <w:jc w:val="left"/>
              <w:rPr>
                <w:szCs w:val="24"/>
              </w:rPr>
            </w:pPr>
            <w:r>
              <w:rPr>
                <w:szCs w:val="24"/>
              </w:rPr>
              <w:t>След старта  на подмярка 4.1 през 2015 г., през календарната 2016 г. продължи нейното прилагане посредством определянето на втори период на прием на заявления в края на годината. Приемъ</w:t>
            </w:r>
            <w:r>
              <w:rPr>
                <w:szCs w:val="24"/>
              </w:rPr>
              <w:t>т през 2016 г. по подмярка 4.1 беше определен след промяна в някои от условията по подмярката, базирани на анализ на резултатите от прием 2015 г. включително:</w:t>
            </w:r>
          </w:p>
          <w:p w:rsidR="002B3815" w:rsidRDefault="0099452B" w:rsidP="0099452B">
            <w:pPr>
              <w:numPr>
                <w:ilvl w:val="0"/>
                <w:numId w:val="24"/>
              </w:numPr>
              <w:spacing w:before="240" w:after="0"/>
              <w:ind w:hanging="210"/>
              <w:jc w:val="left"/>
              <w:rPr>
                <w:szCs w:val="24"/>
              </w:rPr>
            </w:pPr>
            <w:r>
              <w:rPr>
                <w:szCs w:val="24"/>
              </w:rPr>
              <w:t>Прецизиране на критериите за оценка, посредством промяна на съществуващите и добавянето на нови т</w:t>
            </w:r>
            <w:r>
              <w:rPr>
                <w:szCs w:val="24"/>
              </w:rPr>
              <w:t>акива;</w:t>
            </w:r>
          </w:p>
          <w:p w:rsidR="002B3815" w:rsidRDefault="0099452B" w:rsidP="0099452B">
            <w:pPr>
              <w:numPr>
                <w:ilvl w:val="0"/>
                <w:numId w:val="24"/>
              </w:numPr>
              <w:spacing w:before="0" w:after="0"/>
              <w:ind w:hanging="210"/>
              <w:jc w:val="left"/>
              <w:rPr>
                <w:szCs w:val="24"/>
              </w:rPr>
            </w:pPr>
            <w:r>
              <w:rPr>
                <w:szCs w:val="24"/>
              </w:rPr>
              <w:t>Добавяне на нова допустима дейност, свързана с инвестициите за напояване в рамките на земеделските стопанства;</w:t>
            </w:r>
          </w:p>
          <w:p w:rsidR="002B3815" w:rsidRDefault="0099452B" w:rsidP="0099452B">
            <w:pPr>
              <w:numPr>
                <w:ilvl w:val="0"/>
                <w:numId w:val="24"/>
              </w:numPr>
              <w:spacing w:before="0" w:after="240"/>
              <w:ind w:hanging="210"/>
              <w:jc w:val="left"/>
              <w:rPr>
                <w:szCs w:val="24"/>
              </w:rPr>
            </w:pPr>
            <w:r>
              <w:rPr>
                <w:szCs w:val="24"/>
              </w:rPr>
              <w:t>Прецизиране на финансовите условия по подмярката чрез намаляване на максималния размер на разходите за едно проектно предложение и промяна</w:t>
            </w:r>
            <w:r>
              <w:rPr>
                <w:szCs w:val="24"/>
              </w:rPr>
              <w:t xml:space="preserve"> в предоставяния интензитет на финансова помощ;</w:t>
            </w:r>
          </w:p>
          <w:p w:rsidR="002B3815" w:rsidRDefault="0099452B">
            <w:pPr>
              <w:spacing w:before="240" w:after="240"/>
              <w:jc w:val="left"/>
              <w:rPr>
                <w:szCs w:val="24"/>
              </w:rPr>
            </w:pPr>
            <w:r>
              <w:rPr>
                <w:szCs w:val="24"/>
              </w:rPr>
              <w:t>Промените в подмярката са представени за одобрение пред Комитета за наблюдение на ПРСР, като за целта са направени и необходимите промени в текста на ПРСР с цел одобрение от страна на ЕК /Второ изменение на П</w:t>
            </w:r>
            <w:r>
              <w:rPr>
                <w:szCs w:val="24"/>
              </w:rPr>
              <w:t>РСР 2014 – 2020 г. одобрено на 17.09.2016 г./. Във връзка с промените и отразяването им в приложимото национално законодателство / Наредба № 9 от 21.03.2015г./ е проведено обсъждане с браншовите организации.</w:t>
            </w:r>
          </w:p>
          <w:p w:rsidR="002B3815" w:rsidRDefault="0099452B">
            <w:pPr>
              <w:spacing w:before="240" w:after="240"/>
              <w:jc w:val="left"/>
              <w:rPr>
                <w:szCs w:val="24"/>
              </w:rPr>
            </w:pPr>
            <w:r>
              <w:rPr>
                <w:szCs w:val="24"/>
              </w:rPr>
              <w:t xml:space="preserve">Приемът през 2016 г. е проведен в периода 14.10 </w:t>
            </w:r>
            <w:r>
              <w:rPr>
                <w:szCs w:val="24"/>
              </w:rPr>
              <w:t>– 07.12.2016 г., а определения бюджет е в размер на 237 млн. евро, който представлява остатъчния бюджет по подмярката, определен в ПРСР. В рамките на периода на прием са приложени новите финансови условия и кретирии за оценка, като е предоставена възможнос</w:t>
            </w:r>
            <w:r>
              <w:rPr>
                <w:szCs w:val="24"/>
              </w:rPr>
              <w:t>т за включване в заявленията за подпомагане инвестиции свързани с напояване и подаване на заявления за подомагане, подадени от признати групи и организаци на производители. В прием 2016 г. не е предоставена възможност за кандидатстване с интегрирани проект</w:t>
            </w:r>
            <w:r>
              <w:rPr>
                <w:szCs w:val="24"/>
              </w:rPr>
              <w:t>и и колективни инвестиции представени от юридически лица, каквато възможност предоставя текста на подмярката от ПРСР.</w:t>
            </w:r>
          </w:p>
          <w:p w:rsidR="002B3815" w:rsidRDefault="0099452B">
            <w:pPr>
              <w:spacing w:before="240" w:after="240"/>
              <w:jc w:val="left"/>
              <w:rPr>
                <w:szCs w:val="24"/>
              </w:rPr>
            </w:pPr>
            <w:r>
              <w:rPr>
                <w:szCs w:val="24"/>
              </w:rPr>
              <w:t>В рамките на периода на прием на земеделските стопани с входирани заявления за подпомагане от прием  2015 г., които не са получили одобрен</w:t>
            </w:r>
            <w:r>
              <w:rPr>
                <w:szCs w:val="24"/>
              </w:rPr>
              <w:t>ие или отказ е предоставена възможност да прехвърлят заявленията си в прием 2016 г. без да е необходимо да подават ново заявление за подпомагане, което на практика облекчава тези земеделски стопани и намалява административната тежест, свързана с подготовка</w:t>
            </w:r>
            <w:r>
              <w:rPr>
                <w:szCs w:val="24"/>
              </w:rPr>
              <w:t xml:space="preserve"> на нови заявления за подпомагане.</w:t>
            </w:r>
          </w:p>
          <w:p w:rsidR="002B3815" w:rsidRDefault="0099452B">
            <w:pPr>
              <w:spacing w:before="240" w:after="240"/>
              <w:jc w:val="left"/>
              <w:rPr>
                <w:szCs w:val="24"/>
              </w:rPr>
            </w:pPr>
            <w:r>
              <w:rPr>
                <w:szCs w:val="24"/>
              </w:rPr>
              <w:t>С цел осигурявенето на публичност преди стартиране на приема е въведена процедура за въпроси и отговори, свързани с прилагането на подмярката и тълкуването на приложимите разпоредби, които се публикуват на интернет страни</w:t>
            </w:r>
            <w:r>
              <w:rPr>
                <w:szCs w:val="24"/>
              </w:rPr>
              <w:t>цата на МЗХ. По този начин е осигурена навременна информация за кандидатите по отношение облекчаване подготовката на проектните им предложения.</w:t>
            </w:r>
          </w:p>
          <w:p w:rsidR="002B3815" w:rsidRDefault="0099452B">
            <w:pPr>
              <w:spacing w:before="240" w:after="240"/>
              <w:jc w:val="left"/>
              <w:rPr>
                <w:szCs w:val="24"/>
              </w:rPr>
            </w:pPr>
            <w:r>
              <w:rPr>
                <w:szCs w:val="24"/>
              </w:rPr>
              <w:t>През 2105 г. са подписани 22 договора по подмярката, 2 от които впоследствие са прекратени. През 2016 г. са склю</w:t>
            </w:r>
            <w:r>
              <w:rPr>
                <w:szCs w:val="24"/>
              </w:rPr>
              <w:t>чени 767 договора, 72 от които впоследствие са прекратени.  Подписаните през 2017 г. договори са 662, от които са прекратени 17, а през 2018 г. са подписани 122 договора, от които прекратените са 2.</w:t>
            </w:r>
          </w:p>
          <w:p w:rsidR="002B3815" w:rsidRDefault="0099452B">
            <w:pPr>
              <w:spacing w:before="240" w:after="240"/>
              <w:jc w:val="left"/>
              <w:rPr>
                <w:szCs w:val="24"/>
              </w:rPr>
            </w:pPr>
            <w:r>
              <w:rPr>
                <w:szCs w:val="24"/>
              </w:rPr>
              <w:t>Към 31.12.2018 г. по първият прием по подмярка 4.1. прове</w:t>
            </w:r>
            <w:r>
              <w:rPr>
                <w:szCs w:val="24"/>
              </w:rPr>
              <w:t>ден през 2015 г. от всичките 3 341 постъпили заявления са сключени 903 договора за финансова помощ в размер на 177,39 млн. евро. Към същата дата от втория прием по подмярката са подписани  577 договора от общо 2921 постъпили заявления за подпомагане. Общия</w:t>
            </w:r>
            <w:r>
              <w:rPr>
                <w:szCs w:val="24"/>
              </w:rPr>
              <w:t xml:space="preserve"> размер на финансовата помощ по подписаните договори от втория прием е 225,14 млн. евро.</w:t>
            </w:r>
          </w:p>
          <w:p w:rsidR="002B3815" w:rsidRDefault="0099452B">
            <w:pPr>
              <w:spacing w:before="240" w:after="240"/>
              <w:jc w:val="left"/>
              <w:rPr>
                <w:szCs w:val="24"/>
              </w:rPr>
            </w:pPr>
            <w:r>
              <w:rPr>
                <w:szCs w:val="24"/>
              </w:rPr>
              <w:t>Към края на 2018 г. действащите договори са 848 с размер на одобрената финансова помощ 296,02 млн. евро, а договорите с окончателно плащане са 632 с разплатени публичн</w:t>
            </w:r>
            <w:r>
              <w:rPr>
                <w:szCs w:val="24"/>
              </w:rPr>
              <w:t>и разходи в размер на 105,54 млн. евро.</w:t>
            </w:r>
          </w:p>
          <w:p w:rsidR="002B3815" w:rsidRDefault="0099452B">
            <w:pPr>
              <w:spacing w:before="240" w:after="240"/>
              <w:jc w:val="left"/>
              <w:rPr>
                <w:szCs w:val="24"/>
              </w:rPr>
            </w:pPr>
            <w:r>
              <w:rPr>
                <w:b/>
                <w:bCs/>
                <w:i/>
                <w:iCs/>
                <w:szCs w:val="24"/>
              </w:rPr>
              <w:t>Таблица № 2:</w:t>
            </w:r>
            <w:r>
              <w:rPr>
                <w:i/>
                <w:iCs/>
                <w:szCs w:val="24"/>
              </w:rPr>
              <w:t xml:space="preserve"> Постъпили заявления и сключени договори по подмярка 4.1 за подпомагане по години </w:t>
            </w:r>
          </w:p>
          <w:p w:rsidR="002B3815" w:rsidRDefault="0099452B">
            <w:pPr>
              <w:spacing w:before="240" w:after="240"/>
              <w:jc w:val="left"/>
              <w:rPr>
                <w:szCs w:val="24"/>
              </w:rPr>
            </w:pPr>
            <w:r>
              <w:rPr>
                <w:i/>
                <w:iCs/>
                <w:szCs w:val="24"/>
              </w:rPr>
              <w:t>към 31.12.2018 г.</w:t>
            </w:r>
          </w:p>
          <w:p w:rsidR="002B3815" w:rsidRDefault="0099452B">
            <w:pPr>
              <w:spacing w:before="240" w:after="240"/>
              <w:jc w:val="left"/>
              <w:rPr>
                <w:szCs w:val="24"/>
              </w:rPr>
            </w:pPr>
            <w:r>
              <w:rPr>
                <w:b/>
                <w:bCs/>
                <w:i/>
                <w:iCs/>
                <w:szCs w:val="24"/>
              </w:rPr>
              <w:t>Таблица № 3:</w:t>
            </w:r>
            <w:r>
              <w:rPr>
                <w:i/>
                <w:iCs/>
                <w:szCs w:val="24"/>
              </w:rPr>
              <w:t xml:space="preserve"> Изплатена финансова помощ по подмярка 4.1 по години към 31.12.2018 г.</w:t>
            </w:r>
          </w:p>
          <w:p w:rsidR="002B3815" w:rsidRDefault="0099452B">
            <w:pPr>
              <w:spacing w:before="240" w:after="240"/>
              <w:jc w:val="left"/>
              <w:rPr>
                <w:szCs w:val="24"/>
              </w:rPr>
            </w:pPr>
            <w:r>
              <w:rPr>
                <w:b/>
                <w:bCs/>
                <w:i/>
                <w:iCs/>
                <w:szCs w:val="24"/>
              </w:rPr>
              <w:t>Таблица № 4:</w:t>
            </w:r>
            <w:r>
              <w:rPr>
                <w:i/>
                <w:iCs/>
                <w:szCs w:val="24"/>
              </w:rPr>
              <w:t xml:space="preserve"> Сключен</w:t>
            </w:r>
            <w:r>
              <w:rPr>
                <w:i/>
                <w:iCs/>
                <w:szCs w:val="24"/>
              </w:rPr>
              <w:t>и договори по подмярка 4.1. по сектори към 31.12.2018 г.</w:t>
            </w:r>
          </w:p>
          <w:p w:rsidR="002B3815" w:rsidRDefault="0099452B">
            <w:pPr>
              <w:spacing w:before="240" w:after="240"/>
              <w:jc w:val="left"/>
              <w:rPr>
                <w:szCs w:val="24"/>
              </w:rPr>
            </w:pPr>
            <w:r>
              <w:rPr>
                <w:szCs w:val="24"/>
              </w:rPr>
              <w:t xml:space="preserve">На база сключените договори от приеми 2015 г. и 2016 г. се наблюдава силно изразено подпомагане на така наречените „чувствителни сектори”, които освен приоритет по подмярка 4.1, са определени и като </w:t>
            </w:r>
            <w:r>
              <w:rPr>
                <w:szCs w:val="24"/>
              </w:rPr>
              <w:t>хоризонтален приоритет за цялата ПРСР, чрез интерпретирането им в много от мерките свързани със селското стопанство.</w:t>
            </w:r>
          </w:p>
          <w:p w:rsidR="002B3815" w:rsidRDefault="0099452B">
            <w:pPr>
              <w:spacing w:before="240" w:after="240"/>
              <w:jc w:val="left"/>
              <w:rPr>
                <w:szCs w:val="24"/>
              </w:rPr>
            </w:pPr>
            <w:r>
              <w:rPr>
                <w:szCs w:val="24"/>
              </w:rPr>
              <w:t>Най – голям е делът на сключените договори в сектор „плодове и зеленчуци” с 635 сключени договора с размер на одобрена финансова помощ в ра</w:t>
            </w:r>
            <w:r>
              <w:rPr>
                <w:szCs w:val="24"/>
              </w:rPr>
              <w:t xml:space="preserve">змер на 166,59 млн. евро или 40,37 % от сключените договори и проектите в сектор „животновъдство” с 573 договора или 36,42 % от сключените договори и одобрена финансова помощ в размер на 181,01 млн. евро. Договорите в сектор „етерично-маслени и медицински </w:t>
            </w:r>
            <w:r>
              <w:rPr>
                <w:szCs w:val="24"/>
              </w:rPr>
              <w:t>култури” и смесените или други проекти са съответно с 8,13 % и 15 % от сключените договори и размер на финансовата помощ 22,49 млн. евро и 50,20 млн. евро.</w:t>
            </w:r>
          </w:p>
          <w:p w:rsidR="002B3815" w:rsidRDefault="0099452B">
            <w:pPr>
              <w:spacing w:before="240" w:after="240"/>
              <w:jc w:val="left"/>
              <w:rPr>
                <w:szCs w:val="24"/>
              </w:rPr>
            </w:pPr>
            <w:r>
              <w:rPr>
                <w:szCs w:val="24"/>
              </w:rPr>
              <w:t>Най – голям е делът на завършените проекти за плодове и зеленчуци 274 и изплатена финансова помощ от</w:t>
            </w:r>
            <w:r>
              <w:rPr>
                <w:szCs w:val="24"/>
              </w:rPr>
              <w:t xml:space="preserve"> 32,59 млн. евро, а проектите в сектор „животновъдство” с получено окончателно плащане са 244 и изплатена финансова помощ от 37,46 млн. евро. В сектор „етерично маслени и медицински култури” са завършени 56 проекта с изплатена финансова помощ по тях в разм</w:t>
            </w:r>
            <w:r>
              <w:rPr>
                <w:szCs w:val="24"/>
              </w:rPr>
              <w:t>ер на 5,66 млн. евро. По смесените или други проекти, приключилите договори са 58 с изплатена финансова помощ по тях в размер на 9,95 млн. евро.</w:t>
            </w:r>
          </w:p>
          <w:p w:rsidR="002B3815" w:rsidRDefault="0099452B">
            <w:pPr>
              <w:spacing w:before="240" w:after="240"/>
              <w:jc w:val="left"/>
              <w:rPr>
                <w:szCs w:val="24"/>
              </w:rPr>
            </w:pPr>
            <w:r>
              <w:rPr>
                <w:szCs w:val="24"/>
              </w:rPr>
              <w:t>Към края на 31.12.2018 г. завършените проекти в планински райони и районите с природни ограничения, различни от</w:t>
            </w:r>
            <w:r>
              <w:rPr>
                <w:szCs w:val="24"/>
              </w:rPr>
              <w:t xml:space="preserve"> планинските са 340 с изплатена финансова помощ в размер на 54,87 млн. евро.</w:t>
            </w:r>
          </w:p>
          <w:p w:rsidR="002B3815" w:rsidRDefault="0099452B">
            <w:pPr>
              <w:spacing w:before="240" w:after="240"/>
              <w:jc w:val="left"/>
              <w:rPr>
                <w:szCs w:val="24"/>
              </w:rPr>
            </w:pPr>
            <w:r>
              <w:rPr>
                <w:szCs w:val="24"/>
              </w:rPr>
              <w:t>В същото време завършените проекти извън обхвата на тези райони са 292 проекта с изплатена финансова помощ от 50,66 млн. евро.</w:t>
            </w:r>
          </w:p>
          <w:p w:rsidR="002B3815" w:rsidRDefault="0099452B">
            <w:pPr>
              <w:spacing w:before="240" w:after="240"/>
              <w:jc w:val="left"/>
              <w:rPr>
                <w:szCs w:val="24"/>
              </w:rPr>
            </w:pPr>
            <w:r>
              <w:rPr>
                <w:b/>
                <w:bCs/>
                <w:i/>
                <w:iCs/>
                <w:szCs w:val="24"/>
              </w:rPr>
              <w:t>Таблица № 5:</w:t>
            </w:r>
            <w:r>
              <w:rPr>
                <w:i/>
                <w:iCs/>
                <w:szCs w:val="24"/>
              </w:rPr>
              <w:t xml:space="preserve"> Разпределение на договорени и завършени</w:t>
            </w:r>
            <w:r>
              <w:rPr>
                <w:i/>
                <w:iCs/>
                <w:szCs w:val="24"/>
              </w:rPr>
              <w:t xml:space="preserve"> проекти по райони към 31.12.2018 г.</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На база проектите с междинно и окончателно плащане към края на 2018 г., разплатените средства и броят на подкрепените стопанства се отнасят към следните фокус области:</w:t>
            </w:r>
          </w:p>
          <w:p w:rsidR="002B3815" w:rsidRDefault="0099452B" w:rsidP="0099452B">
            <w:pPr>
              <w:numPr>
                <w:ilvl w:val="0"/>
                <w:numId w:val="25"/>
              </w:numPr>
              <w:spacing w:before="240" w:after="0"/>
              <w:ind w:hanging="210"/>
              <w:jc w:val="left"/>
              <w:rPr>
                <w:szCs w:val="24"/>
              </w:rPr>
            </w:pPr>
            <w:r>
              <w:rPr>
                <w:szCs w:val="24"/>
              </w:rPr>
              <w:t>2А – 85,65 млн. евро публични разходи и 579 подкр</w:t>
            </w:r>
            <w:r>
              <w:rPr>
                <w:szCs w:val="24"/>
              </w:rPr>
              <w:t>епени стопанства;</w:t>
            </w:r>
          </w:p>
          <w:p w:rsidR="002B3815" w:rsidRDefault="0099452B" w:rsidP="0099452B">
            <w:pPr>
              <w:numPr>
                <w:ilvl w:val="0"/>
                <w:numId w:val="25"/>
              </w:numPr>
              <w:spacing w:before="0" w:after="0"/>
              <w:ind w:hanging="210"/>
              <w:jc w:val="left"/>
              <w:rPr>
                <w:szCs w:val="24"/>
              </w:rPr>
            </w:pPr>
            <w:r>
              <w:rPr>
                <w:szCs w:val="24"/>
              </w:rPr>
              <w:t>2В – 29,88 млн. евро публични разходи и 164 подкрепени стопанства;</w:t>
            </w:r>
          </w:p>
          <w:p w:rsidR="002B3815" w:rsidRDefault="0099452B" w:rsidP="0099452B">
            <w:pPr>
              <w:numPr>
                <w:ilvl w:val="0"/>
                <w:numId w:val="25"/>
              </w:numPr>
              <w:spacing w:before="0" w:after="0"/>
              <w:ind w:hanging="210"/>
              <w:jc w:val="left"/>
              <w:rPr>
                <w:szCs w:val="24"/>
              </w:rPr>
            </w:pPr>
            <w:r>
              <w:rPr>
                <w:szCs w:val="24"/>
              </w:rPr>
              <w:t>5А – 657,49 хил. евро публични разходи и 7 подкрепени стопанства;</w:t>
            </w:r>
          </w:p>
          <w:p w:rsidR="002B3815" w:rsidRDefault="0099452B" w:rsidP="0099452B">
            <w:pPr>
              <w:numPr>
                <w:ilvl w:val="0"/>
                <w:numId w:val="25"/>
              </w:numPr>
              <w:spacing w:before="0" w:after="0"/>
              <w:ind w:hanging="210"/>
              <w:jc w:val="left"/>
              <w:rPr>
                <w:szCs w:val="24"/>
              </w:rPr>
            </w:pPr>
            <w:r>
              <w:rPr>
                <w:szCs w:val="24"/>
              </w:rPr>
              <w:t>5В – 4,33 млн. евро публични разходи и 21 подкрепени стопанства;</w:t>
            </w:r>
          </w:p>
          <w:p w:rsidR="002B3815" w:rsidRDefault="0099452B" w:rsidP="0099452B">
            <w:pPr>
              <w:numPr>
                <w:ilvl w:val="0"/>
                <w:numId w:val="25"/>
              </w:numPr>
              <w:spacing w:before="0" w:after="0"/>
              <w:ind w:hanging="210"/>
              <w:jc w:val="left"/>
              <w:rPr>
                <w:szCs w:val="24"/>
              </w:rPr>
            </w:pPr>
            <w:r>
              <w:rPr>
                <w:szCs w:val="24"/>
              </w:rPr>
              <w:t>5С – 244,67 хил. евро публични разходи и</w:t>
            </w:r>
            <w:r>
              <w:rPr>
                <w:szCs w:val="24"/>
              </w:rPr>
              <w:t xml:space="preserve"> 8 подкрепени стопанства;</w:t>
            </w:r>
          </w:p>
          <w:p w:rsidR="002B3815" w:rsidRDefault="0099452B" w:rsidP="0099452B">
            <w:pPr>
              <w:numPr>
                <w:ilvl w:val="0"/>
                <w:numId w:val="25"/>
              </w:numPr>
              <w:spacing w:before="0" w:after="240"/>
              <w:ind w:hanging="210"/>
              <w:jc w:val="left"/>
              <w:rPr>
                <w:szCs w:val="24"/>
              </w:rPr>
            </w:pPr>
            <w:r>
              <w:rPr>
                <w:szCs w:val="24"/>
              </w:rPr>
              <w:t>5D – 269,49 хил. евро публични разходи и 9 подкрепени стопанства.</w:t>
            </w:r>
          </w:p>
          <w:p w:rsidR="002B3815" w:rsidRDefault="0099452B">
            <w:pPr>
              <w:spacing w:before="240" w:after="240"/>
              <w:jc w:val="left"/>
              <w:rPr>
                <w:szCs w:val="24"/>
              </w:rPr>
            </w:pPr>
            <w:r>
              <w:rPr>
                <w:szCs w:val="24"/>
              </w:rPr>
              <w:t>Данните от приключилите договори показват, че физическите лица под 40 годишна възраст представляват близо 25% от всички сключени договори до края на 2018 г., значит</w:t>
            </w:r>
            <w:r>
              <w:rPr>
                <w:szCs w:val="24"/>
              </w:rPr>
              <w:t>елно по малко са физическите лица над 40 г., които представляват около 13% от сключените договори. По договори сключени с лица под 40 г. е ангажиран финансов ресурс в размер на 63.58 млн. евро или около 16 %, като мъжете под 40 г. със сключени договори има</w:t>
            </w:r>
            <w:r>
              <w:rPr>
                <w:szCs w:val="24"/>
              </w:rPr>
              <w:t>т превес над жените. Въпреки, че преобладаваща част от земеделските стопанства в страната са физически лица, традиционно в рамките на ПРСР юридическите лица – земеделски стопани имат най – голям относителен дял с 921 сключени договора и размер на финансова</w:t>
            </w:r>
            <w:r>
              <w:rPr>
                <w:szCs w:val="24"/>
              </w:rPr>
              <w:t>та помощ от 315.86 млн. евро.</w:t>
            </w:r>
          </w:p>
          <w:p w:rsidR="002B3815" w:rsidRDefault="0099452B">
            <w:pPr>
              <w:spacing w:before="240" w:after="240"/>
              <w:jc w:val="left"/>
              <w:rPr>
                <w:szCs w:val="24"/>
              </w:rPr>
            </w:pPr>
            <w:r>
              <w:rPr>
                <w:szCs w:val="24"/>
              </w:rPr>
              <w:t xml:space="preserve">Към 31.12.2018 г. броят завършени проекти е в полза на физическите лица 160, но като обем на изплатената финансова помощ превес получават юридическите лица с изплатени средства в размер на 35,68 млн. евро, при общо 12,40 млн. </w:t>
            </w:r>
            <w:r>
              <w:rPr>
                <w:szCs w:val="24"/>
              </w:rPr>
              <w:t>евро за физическите лица. Тези данни може би са в резултат на малкият обем инвестиции, които предприемат физическите лица земеделски стопани и по – краткото време за тяхното изпълнение.</w:t>
            </w:r>
          </w:p>
          <w:p w:rsidR="002B3815" w:rsidRDefault="0099452B">
            <w:pPr>
              <w:spacing w:before="240" w:after="240"/>
              <w:jc w:val="left"/>
              <w:rPr>
                <w:szCs w:val="24"/>
              </w:rPr>
            </w:pPr>
            <w:r>
              <w:rPr>
                <w:szCs w:val="24"/>
              </w:rPr>
              <w:t>На база данните от сключените договори от прием 2015 г., 2016 г., 2017</w:t>
            </w:r>
            <w:r>
              <w:rPr>
                <w:szCs w:val="24"/>
              </w:rPr>
              <w:t xml:space="preserve"> г. и 2018 г. по подмярката може да се направи извод, че е осигурена възможност за достъп до финансиране на млади земеделски стопани, които представляват почти 1/3 от сключените договори. От друга страна е налице запазващо се преимущество на подпомаганите </w:t>
            </w:r>
            <w:r>
              <w:rPr>
                <w:szCs w:val="24"/>
              </w:rPr>
              <w:t>мъже физически лица за сметка на жените физически лица земеделски стопани. Тези тенденции до голяма степен се дължат и на структурата на земеделските стопанства в страната, както и тяхната характеристика, която намира своето отражение в подпомагането по ли</w:t>
            </w:r>
            <w:r>
              <w:rPr>
                <w:szCs w:val="24"/>
              </w:rPr>
              <w:t>ния на ЕЗФРСР.</w:t>
            </w:r>
          </w:p>
          <w:p w:rsidR="002B3815" w:rsidRDefault="0099452B">
            <w:pPr>
              <w:spacing w:before="240" w:after="240"/>
              <w:jc w:val="left"/>
              <w:rPr>
                <w:szCs w:val="24"/>
              </w:rPr>
            </w:pPr>
            <w:r>
              <w:rPr>
                <w:b/>
                <w:bCs/>
                <w:i/>
                <w:iCs/>
                <w:szCs w:val="24"/>
              </w:rPr>
              <w:t>Таблица № 6:</w:t>
            </w:r>
            <w:r>
              <w:rPr>
                <w:i/>
                <w:iCs/>
                <w:szCs w:val="24"/>
              </w:rPr>
              <w:t xml:space="preserve"> Разпределение на завършените проекти към 31.12.2018 г. по възраст и пол</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 xml:space="preserve">Подмярка 4.1.2: „Инвестиции в земеделски стопанства по Тематична подпрограма за развитие на малки стопанства“ (ТПП) </w:t>
            </w:r>
          </w:p>
          <w:p w:rsidR="002B3815" w:rsidRDefault="0099452B">
            <w:pPr>
              <w:spacing w:before="240" w:after="240"/>
              <w:jc w:val="left"/>
              <w:rPr>
                <w:szCs w:val="24"/>
              </w:rPr>
            </w:pPr>
            <w:r>
              <w:rPr>
                <w:szCs w:val="24"/>
              </w:rPr>
              <w:t>Подмярката има за цел подобряване н</w:t>
            </w:r>
            <w:r>
              <w:rPr>
                <w:szCs w:val="24"/>
              </w:rPr>
              <w:t>а икономическата устойчивост и резултати на малките стопанства чрез преструктуриране и развитие на наличните материални мощности в стопанствата, насърчаване въвеждането на нови процеси и технологии за повишаване качеството на произвежданата продукция опазв</w:t>
            </w:r>
            <w:r>
              <w:rPr>
                <w:szCs w:val="24"/>
              </w:rPr>
              <w:t>ане на компонентите на околната среда и спазване на стандартите на Европейския съюз и подобряване на условията в земеделските стопанства.</w:t>
            </w:r>
          </w:p>
          <w:p w:rsidR="002B3815" w:rsidRDefault="0099452B">
            <w:pPr>
              <w:spacing w:before="240" w:after="240"/>
              <w:jc w:val="left"/>
              <w:rPr>
                <w:szCs w:val="24"/>
              </w:rPr>
            </w:pPr>
            <w:r>
              <w:rPr>
                <w:szCs w:val="24"/>
              </w:rPr>
              <w:t xml:space="preserve">През 2017 г. не е проведен период на прием по подмярката и предвиденият съгласно ИГРП прием бе отложен. УО е прдприел </w:t>
            </w:r>
            <w:r>
              <w:rPr>
                <w:szCs w:val="24"/>
              </w:rPr>
              <w:t>действия за преодоляване на закъснението.</w:t>
            </w:r>
          </w:p>
          <w:p w:rsidR="002B3815" w:rsidRDefault="0099452B">
            <w:pPr>
              <w:spacing w:before="240" w:after="240"/>
              <w:jc w:val="left"/>
              <w:rPr>
                <w:szCs w:val="24"/>
              </w:rPr>
            </w:pPr>
            <w:r>
              <w:rPr>
                <w:szCs w:val="24"/>
              </w:rPr>
              <w:t>Обнародвана е Наредба № 6 от 29 септември 2017 г. за прилагане на подмярка 4.1.2. "Инвестиции в земеделски стопанства по Тематична подпрограма за развитие на малки стопанства" от мярка 4 "Инвестиции в материални ак</w:t>
            </w:r>
            <w:r>
              <w:rPr>
                <w:szCs w:val="24"/>
              </w:rPr>
              <w:t>тиви" от програмата за развитие на селските райони за периода 2014 - 2020 г. (обн. ДВ. бр. 82 от 13 октомври 2017 г.).</w:t>
            </w:r>
          </w:p>
          <w:p w:rsidR="002B3815" w:rsidRDefault="0099452B">
            <w:pPr>
              <w:spacing w:before="240" w:after="240"/>
              <w:jc w:val="left"/>
              <w:rPr>
                <w:szCs w:val="24"/>
              </w:rPr>
            </w:pPr>
            <w:r>
              <w:rPr>
                <w:szCs w:val="24"/>
              </w:rPr>
              <w:t>През периода 18.07.-22.10.2018 г. е отворен прием по подмярката с общ бюджет 12,5 млн. Евро. Към 31.12. 2018 г. няма сключени договори по</w:t>
            </w:r>
            <w:r>
              <w:rPr>
                <w:szCs w:val="24"/>
              </w:rPr>
              <w:t xml:space="preserve"> подмярката, постъпили са заявления на стойност 1.9 млн. евро.</w:t>
            </w:r>
          </w:p>
          <w:p w:rsidR="002B3815" w:rsidRDefault="0099452B">
            <w:pPr>
              <w:spacing w:before="240" w:after="240"/>
              <w:jc w:val="left"/>
              <w:rPr>
                <w:szCs w:val="24"/>
              </w:rPr>
            </w:pPr>
            <w:r>
              <w:rPr>
                <w:b/>
                <w:bCs/>
                <w:szCs w:val="24"/>
              </w:rPr>
              <w:t>Подмярка 4.2 „Инвестиции в преработка/маркетинг на селскостопански продукти“</w:t>
            </w:r>
          </w:p>
          <w:p w:rsidR="002B3815" w:rsidRDefault="0099452B">
            <w:pPr>
              <w:spacing w:before="240" w:after="240"/>
              <w:jc w:val="left"/>
              <w:rPr>
                <w:szCs w:val="24"/>
              </w:rPr>
            </w:pPr>
            <w:r>
              <w:rPr>
                <w:szCs w:val="24"/>
              </w:rPr>
              <w:t xml:space="preserve">Прилагането на подмярката стартира в края на 2015 г., като в рамките на периода на прием са постъпили 597 заявления </w:t>
            </w:r>
            <w:r>
              <w:rPr>
                <w:szCs w:val="24"/>
              </w:rPr>
              <w:t>за подпомагане със заявена от кандидатите финансова помощ в размер на 420,83 млн. евро. През календарната 2016 г. не е определян период на прием по подмярката, като акцент е поставен върху финализиране обработката на заявленията за подпомагане, постъпили в</w:t>
            </w:r>
            <w:r>
              <w:rPr>
                <w:szCs w:val="24"/>
              </w:rPr>
              <w:t xml:space="preserve"> приема от 2015 г. Съществен момент във връзка с прилагане на подмярката през 2016 г. е допълнение на критериите за оценка, които са представени и гласувани от Комитета за наблюдение на ПРСР 2014-2020, които са:</w:t>
            </w:r>
          </w:p>
          <w:p w:rsidR="002B3815" w:rsidRDefault="0099452B" w:rsidP="0099452B">
            <w:pPr>
              <w:numPr>
                <w:ilvl w:val="0"/>
                <w:numId w:val="26"/>
              </w:numPr>
              <w:spacing w:before="240" w:after="0"/>
              <w:ind w:hanging="210"/>
              <w:jc w:val="left"/>
              <w:rPr>
                <w:szCs w:val="24"/>
              </w:rPr>
            </w:pPr>
            <w:r>
              <w:rPr>
                <w:szCs w:val="24"/>
              </w:rPr>
              <w:t>Проекти на кандидати, които извършват селско</w:t>
            </w:r>
            <w:r>
              <w:rPr>
                <w:szCs w:val="24"/>
              </w:rPr>
              <w:t>стопанска дейност или преработка на селскостопански продукти от най-малко три години и не са получавали финансова помощ за сходна дейност</w:t>
            </w:r>
          </w:p>
          <w:p w:rsidR="002B3815" w:rsidRDefault="0099452B" w:rsidP="0099452B">
            <w:pPr>
              <w:numPr>
                <w:ilvl w:val="0"/>
                <w:numId w:val="26"/>
              </w:numPr>
              <w:spacing w:before="0" w:after="240"/>
              <w:ind w:hanging="210"/>
              <w:jc w:val="left"/>
              <w:rPr>
                <w:szCs w:val="24"/>
              </w:rPr>
            </w:pPr>
            <w:r>
              <w:rPr>
                <w:szCs w:val="24"/>
              </w:rPr>
              <w:t xml:space="preserve">Проекти, насърчаващи интеграцията на земеделските производители и преработвателни предприятия с разширен достъп до </w:t>
            </w:r>
            <w:r>
              <w:rPr>
                <w:szCs w:val="24"/>
              </w:rPr>
              <w:t>пазари за произвежданата от тях продукция, включително експортна активност</w:t>
            </w:r>
          </w:p>
          <w:p w:rsidR="002B3815" w:rsidRDefault="0099452B">
            <w:pPr>
              <w:spacing w:before="240" w:after="240"/>
              <w:jc w:val="left"/>
              <w:rPr>
                <w:szCs w:val="24"/>
              </w:rPr>
            </w:pPr>
            <w:r>
              <w:rPr>
                <w:szCs w:val="24"/>
              </w:rPr>
              <w:t>Включването на двата нови критерия за оценка в подмярката има за цел да насърчи кандидати преработващи селскостопанска продукция, които са съществуващи предприятия и са подържали оп</w:t>
            </w:r>
            <w:r>
              <w:rPr>
                <w:szCs w:val="24"/>
              </w:rPr>
              <w:t>ределен брой персонал през последните години и не са финансирани за сходни дейности до момента. Също така се насърчава експортната ориентираност на праработените селскостопански продукти, като за база се взимат приходите от последните години реализирани от</w:t>
            </w:r>
            <w:r>
              <w:rPr>
                <w:szCs w:val="24"/>
              </w:rPr>
              <w:t xml:space="preserve"> кандидатите от износ на преработени продукти.</w:t>
            </w:r>
          </w:p>
          <w:p w:rsidR="002B3815" w:rsidRDefault="0099452B">
            <w:pPr>
              <w:spacing w:before="240" w:after="240"/>
              <w:jc w:val="left"/>
              <w:rPr>
                <w:szCs w:val="24"/>
              </w:rPr>
            </w:pPr>
            <w:r>
              <w:rPr>
                <w:szCs w:val="24"/>
              </w:rPr>
              <w:t>Тези критерии за оценка не са прилагани през 2016 г., тъй като през годината не е определен период на прием по подмярката. През втория прием по подмярката са приложени новите критерии за оценка и новите финанс</w:t>
            </w:r>
            <w:r>
              <w:rPr>
                <w:szCs w:val="24"/>
              </w:rPr>
              <w:t>ови условия, одобрени след изменение на ПРСР /Трето изменение доборено на 22.02.2017 г./ и свързани с намаляване на максималният размер на разходите за едно проектно предложение.</w:t>
            </w:r>
          </w:p>
          <w:p w:rsidR="002B3815" w:rsidRDefault="0099452B">
            <w:pPr>
              <w:spacing w:before="240" w:after="240"/>
              <w:jc w:val="left"/>
              <w:rPr>
                <w:szCs w:val="24"/>
              </w:rPr>
            </w:pPr>
            <w:r>
              <w:rPr>
                <w:szCs w:val="24"/>
              </w:rPr>
              <w:t>Сключените договори през 2016 г. са 178, с размер на одобрена финансова помощ</w:t>
            </w:r>
            <w:r>
              <w:rPr>
                <w:szCs w:val="24"/>
              </w:rPr>
              <w:t xml:space="preserve"> в размер на 124.67 млн. евро. Преобладаващата част от сключените договори са насочени към област на въздействие „3А“, свързана с подобряване на конкурентоспособността на първичните производители чрез по-доброто им интегриране в хранителната верига чрез до</w:t>
            </w:r>
            <w:r>
              <w:rPr>
                <w:szCs w:val="24"/>
              </w:rPr>
              <w:t>бавяне на стойност към селскостопански продукти.</w:t>
            </w:r>
          </w:p>
          <w:p w:rsidR="002B3815" w:rsidRDefault="0099452B">
            <w:pPr>
              <w:spacing w:before="240" w:after="240"/>
              <w:jc w:val="left"/>
              <w:rPr>
                <w:szCs w:val="24"/>
              </w:rPr>
            </w:pPr>
            <w:r>
              <w:rPr>
                <w:szCs w:val="24"/>
              </w:rPr>
              <w:t>Сключените договори през 2017 г. са 35, с размер на одобрена финансова помощ в размер на 32,30 млн. евро. Преобладаващата част от сключените договори са насочени към област на въздействие „3А“, свързана с по</w:t>
            </w:r>
            <w:r>
              <w:rPr>
                <w:szCs w:val="24"/>
              </w:rPr>
              <w:t>добряване на конкурентоспособността на първичните производители чрез по-доброто им интегриране в хранителната верига чрез добавяне на стойност към селскостопански продукти.</w:t>
            </w:r>
          </w:p>
          <w:p w:rsidR="002B3815" w:rsidRDefault="0099452B">
            <w:pPr>
              <w:spacing w:before="240" w:after="240"/>
              <w:jc w:val="left"/>
              <w:rPr>
                <w:szCs w:val="24"/>
              </w:rPr>
            </w:pPr>
            <w:r>
              <w:rPr>
                <w:szCs w:val="24"/>
              </w:rPr>
              <w:t>Сключените договори през 2018 г. са 82, с размер на одобрена финансова помощ в разм</w:t>
            </w:r>
            <w:r>
              <w:rPr>
                <w:szCs w:val="24"/>
              </w:rPr>
              <w:t>ер на 36,75 млн. евро. Всички сключени договори, с изключение на 1 бр., са насочени към област на въздействие „3А“, свързана с подобряване на конкурентоспособността на първичните производители чрез по-доброто им интегриране в хранителната верига чрез добав</w:t>
            </w:r>
            <w:r>
              <w:rPr>
                <w:szCs w:val="24"/>
              </w:rPr>
              <w:t>яне на стойност към селскостопански продукти.</w:t>
            </w:r>
          </w:p>
          <w:p w:rsidR="002B3815" w:rsidRDefault="0099452B">
            <w:pPr>
              <w:spacing w:before="240" w:after="240"/>
              <w:jc w:val="left"/>
              <w:rPr>
                <w:szCs w:val="24"/>
              </w:rPr>
            </w:pPr>
            <w:r>
              <w:rPr>
                <w:szCs w:val="24"/>
              </w:rPr>
              <w:t>Към 31.12.2018 г. сключените и действащи договори са 295 с общ размер на одобрените публични средства в размер на 193,73 млн. евро. Анулирани или прекратени са 24 договора с размер на финансовата помощ 17,66 мл</w:t>
            </w:r>
            <w:r>
              <w:rPr>
                <w:szCs w:val="24"/>
              </w:rPr>
              <w:t>н. евро, оттеглените по желание на кандидатите заявления са 61 с обща стойност на заявените публични разходи 31.48 млн. евро, неподписаните договори са 4 с общ размер на одобрените публични средства 1.98 млн. евро.  В резултат на извършените проверки са от</w:t>
            </w:r>
            <w:r>
              <w:rPr>
                <w:szCs w:val="24"/>
              </w:rPr>
              <w:t xml:space="preserve">хвърлени 49 заявления за подпомагане с финансова помощ от 34,70 млн. евро. До края на 2018 г. не са сключени договори с всички кандидати, попадащи в рамките на определения бюджет, поради извършването на допълнителни проверки по заявленията за подпомагане. </w:t>
            </w:r>
            <w:r>
              <w:rPr>
                <w:szCs w:val="24"/>
              </w:rPr>
              <w:t>В процес на разглеждане са 25 заявления с размер на финансовата помощ 21,99 млн. евро.</w:t>
            </w:r>
          </w:p>
          <w:p w:rsidR="002B3815" w:rsidRDefault="0099452B">
            <w:pPr>
              <w:spacing w:before="240" w:after="240"/>
              <w:jc w:val="left"/>
              <w:rPr>
                <w:szCs w:val="24"/>
              </w:rPr>
            </w:pPr>
            <w:r>
              <w:rPr>
                <w:szCs w:val="24"/>
              </w:rPr>
              <w:t>В рамките на първия прием са постъпили  597 заявления за подпомагане с размер на заявените публични средства от 420.83 млн. евро. Този висок интерес от страна на кандида</w:t>
            </w:r>
            <w:r>
              <w:rPr>
                <w:szCs w:val="24"/>
              </w:rPr>
              <w:t>тите почти четири пъти над разполагаемия бюджет за приема обяснява и броя сключени договори в размер на 49 % от всички подадени заявления за подпомагане. Към края на 2018 г. не са сключени договори с всички кандидати, попадащи в рамките на определения бюдж</w:t>
            </w:r>
            <w:r>
              <w:rPr>
                <w:szCs w:val="24"/>
              </w:rPr>
              <w:t>ет, поради извършването на допълнителни проверки по заявленията за подпомагане.</w:t>
            </w:r>
          </w:p>
          <w:p w:rsidR="002B3815" w:rsidRDefault="0099452B">
            <w:pPr>
              <w:spacing w:before="240" w:after="240"/>
              <w:jc w:val="left"/>
              <w:rPr>
                <w:szCs w:val="24"/>
              </w:rPr>
            </w:pPr>
            <w:r>
              <w:rPr>
                <w:b/>
                <w:bCs/>
                <w:i/>
                <w:iCs/>
                <w:szCs w:val="24"/>
              </w:rPr>
              <w:t>Таблица № 7:</w:t>
            </w:r>
            <w:r>
              <w:rPr>
                <w:i/>
                <w:iCs/>
                <w:szCs w:val="24"/>
              </w:rPr>
              <w:t xml:space="preserve"> Постъпили заявления и сключени договори по подмярка 4.2 за подпомагане по години към 31.12.2018 г.</w:t>
            </w:r>
          </w:p>
          <w:p w:rsidR="002B3815" w:rsidRDefault="0099452B">
            <w:pPr>
              <w:spacing w:before="240" w:after="240"/>
              <w:jc w:val="left"/>
              <w:rPr>
                <w:szCs w:val="24"/>
              </w:rPr>
            </w:pPr>
            <w:r>
              <w:rPr>
                <w:szCs w:val="24"/>
              </w:rPr>
              <w:t>Средният размер на одобрената финансова помощ по сключените дого</w:t>
            </w:r>
            <w:r>
              <w:rPr>
                <w:szCs w:val="24"/>
              </w:rPr>
              <w:t>вори е 656 хил. евро. От прегледа на сключените договори се вижда, че 35 от проектите от тях се изпълняват на територията на Северозападен район, което е в съответствие с един от хоризонталните прироритети залегнали в ПРСР и Споразумението за партньорство.</w:t>
            </w:r>
            <w:r>
              <w:rPr>
                <w:szCs w:val="24"/>
              </w:rPr>
              <w:t xml:space="preserve"> 4 от тези 35 проекти са прекратени или 10.5 % от всички действащи договори по подмярката се изпълняват на територията на Северозападен район. Одобрената финансова помощ по действащите проекти на територията на Северозападен район е в размер на 15.27 млн. </w:t>
            </w:r>
            <w:r>
              <w:rPr>
                <w:szCs w:val="24"/>
              </w:rPr>
              <w:t>Евро или приблизително 9 % от всички публични средства.</w:t>
            </w:r>
          </w:p>
          <w:p w:rsidR="002B3815" w:rsidRDefault="0099452B">
            <w:pPr>
              <w:spacing w:before="240" w:after="240"/>
              <w:jc w:val="left"/>
              <w:rPr>
                <w:szCs w:val="24"/>
              </w:rPr>
            </w:pPr>
            <w:r>
              <w:rPr>
                <w:szCs w:val="24"/>
              </w:rPr>
              <w:t>От всички сключени до края на 2018 г. договори проектите с включени инвестиции за въвеждане на нови и енергоспестяващи технологии и иновации в преработвателната промишленост са общо 177 с размер на од</w:t>
            </w:r>
            <w:r>
              <w:rPr>
                <w:szCs w:val="24"/>
              </w:rPr>
              <w:t>обрената финансова помощ 139,86 млн. евро. Проектите за преработка на биологични суровини и производство на биологични продукти са 33, а одобрената финансова помощ по тях възлиза на 19,76 млн. евро.</w:t>
            </w:r>
          </w:p>
          <w:p w:rsidR="002B3815" w:rsidRDefault="0099452B">
            <w:pPr>
              <w:spacing w:before="240" w:after="240"/>
              <w:jc w:val="left"/>
              <w:rPr>
                <w:szCs w:val="24"/>
              </w:rPr>
            </w:pPr>
            <w:r>
              <w:rPr>
                <w:szCs w:val="24"/>
              </w:rPr>
              <w:t xml:space="preserve">Проектите с инвестиции за насърчаване на кооперирането и </w:t>
            </w:r>
            <w:r>
              <w:rPr>
                <w:szCs w:val="24"/>
              </w:rPr>
              <w:t>интеграцията между земеделските стопани и предприятия от преработвателната промишленост са 82, а одобрения размер на финансовата помощ е 51,93 млн. евро.</w:t>
            </w:r>
          </w:p>
          <w:p w:rsidR="002B3815" w:rsidRDefault="0099452B">
            <w:pPr>
              <w:spacing w:before="240" w:after="240"/>
              <w:jc w:val="left"/>
              <w:rPr>
                <w:szCs w:val="24"/>
              </w:rPr>
            </w:pPr>
            <w:r>
              <w:rPr>
                <w:szCs w:val="24"/>
              </w:rPr>
              <w:t>На база сключените и действащи към 31.12.2018 г. договори се наблюдава превес на проектите в сектор „п</w:t>
            </w:r>
            <w:r>
              <w:rPr>
                <w:szCs w:val="24"/>
              </w:rPr>
              <w:t>лодове и зеленчуци” /49.26%/, за преработка на животински продукти са одобрени 42.22 % от проектните предложения, а за преработка на етерично маслени  култури са 8.52 % от сключените договори.</w:t>
            </w:r>
          </w:p>
          <w:p w:rsidR="002B3815" w:rsidRDefault="0099452B">
            <w:pPr>
              <w:spacing w:before="240" w:after="240"/>
              <w:jc w:val="left"/>
              <w:rPr>
                <w:szCs w:val="24"/>
              </w:rPr>
            </w:pPr>
            <w:r>
              <w:rPr>
                <w:b/>
                <w:bCs/>
                <w:i/>
                <w:iCs/>
                <w:szCs w:val="24"/>
              </w:rPr>
              <w:t>Таблица № 8:</w:t>
            </w:r>
            <w:r>
              <w:rPr>
                <w:i/>
                <w:iCs/>
                <w:szCs w:val="24"/>
              </w:rPr>
              <w:t xml:space="preserve"> Сключени договори по подмярка 4.2. по сектори към </w:t>
            </w:r>
            <w:r>
              <w:rPr>
                <w:i/>
                <w:iCs/>
                <w:szCs w:val="24"/>
              </w:rPr>
              <w:t>31.12.2018 г.</w:t>
            </w:r>
          </w:p>
          <w:p w:rsidR="002B3815" w:rsidRDefault="0099452B">
            <w:pPr>
              <w:spacing w:before="240" w:after="240"/>
              <w:jc w:val="left"/>
              <w:rPr>
                <w:szCs w:val="24"/>
              </w:rPr>
            </w:pPr>
            <w:r>
              <w:rPr>
                <w:b/>
                <w:bCs/>
                <w:i/>
                <w:iCs/>
                <w:szCs w:val="24"/>
              </w:rPr>
              <w:t>Таблица № 9:</w:t>
            </w:r>
            <w:r>
              <w:rPr>
                <w:i/>
                <w:iCs/>
                <w:szCs w:val="24"/>
              </w:rPr>
              <w:t xml:space="preserve"> Изплатена финансова помощ по подмярка 4.2 по години към 31.12.2018 г.</w:t>
            </w:r>
          </w:p>
          <w:p w:rsidR="002B3815" w:rsidRDefault="0099452B">
            <w:pPr>
              <w:spacing w:before="240" w:after="240"/>
              <w:jc w:val="left"/>
              <w:rPr>
                <w:szCs w:val="24"/>
              </w:rPr>
            </w:pPr>
            <w:r>
              <w:rPr>
                <w:szCs w:val="24"/>
              </w:rPr>
              <w:t xml:space="preserve">Към края на 31.12.2018 г. завършените проекти в планински райони и районите с природни ограничения, различни от планинските са 104 с изплатена финансова помощ </w:t>
            </w:r>
            <w:r>
              <w:rPr>
                <w:szCs w:val="24"/>
              </w:rPr>
              <w:t>в размер на 15.38 млн. евро.</w:t>
            </w:r>
          </w:p>
          <w:p w:rsidR="002B3815" w:rsidRDefault="0099452B">
            <w:pPr>
              <w:spacing w:before="240" w:after="240"/>
              <w:jc w:val="left"/>
              <w:rPr>
                <w:szCs w:val="24"/>
              </w:rPr>
            </w:pPr>
            <w:r>
              <w:rPr>
                <w:szCs w:val="24"/>
              </w:rPr>
              <w:t>В същото време завършените проекти извън обхвата на тези райони са 166 проекта с изплатена финансова помощ от 33,60 млн. евро.</w:t>
            </w:r>
          </w:p>
          <w:p w:rsidR="002B3815" w:rsidRDefault="0099452B">
            <w:pPr>
              <w:spacing w:before="240" w:after="240"/>
              <w:jc w:val="left"/>
              <w:rPr>
                <w:szCs w:val="24"/>
              </w:rPr>
            </w:pPr>
            <w:r>
              <w:rPr>
                <w:b/>
                <w:bCs/>
                <w:i/>
                <w:iCs/>
                <w:szCs w:val="24"/>
              </w:rPr>
              <w:t>Таблица № 10:</w:t>
            </w:r>
            <w:r>
              <w:rPr>
                <w:i/>
                <w:iCs/>
                <w:szCs w:val="24"/>
              </w:rPr>
              <w:t xml:space="preserve"> Разпределение на договорени и завършени проекти по области към 31.12.2018 г</w:t>
            </w:r>
            <w:r>
              <w:rPr>
                <w:b/>
                <w:bCs/>
                <w:szCs w:val="24"/>
              </w:rPr>
              <w:t>.</w:t>
            </w:r>
          </w:p>
          <w:p w:rsidR="002B3815" w:rsidRDefault="0099452B">
            <w:pPr>
              <w:spacing w:before="240" w:after="240"/>
              <w:jc w:val="left"/>
              <w:rPr>
                <w:szCs w:val="24"/>
              </w:rPr>
            </w:pPr>
            <w:r>
              <w:rPr>
                <w:szCs w:val="24"/>
              </w:rPr>
              <w:t>На база п</w:t>
            </w:r>
            <w:r>
              <w:rPr>
                <w:szCs w:val="24"/>
              </w:rPr>
              <w:t>роектите с окончателно плащане към края на 2018 г., разплатените средства и броят на подкрепените предприятия се отнасят към следните фокус области:</w:t>
            </w:r>
          </w:p>
          <w:p w:rsidR="002B3815" w:rsidRDefault="0099452B" w:rsidP="0099452B">
            <w:pPr>
              <w:numPr>
                <w:ilvl w:val="0"/>
                <w:numId w:val="27"/>
              </w:numPr>
              <w:spacing w:before="240" w:after="0"/>
              <w:ind w:hanging="210"/>
              <w:jc w:val="left"/>
              <w:rPr>
                <w:szCs w:val="24"/>
              </w:rPr>
            </w:pPr>
            <w:r>
              <w:rPr>
                <w:szCs w:val="24"/>
              </w:rPr>
              <w:t>3А – 31.35 млн. евро публични разходи и 69 подкрепени предприятия;</w:t>
            </w:r>
          </w:p>
          <w:p w:rsidR="002B3815" w:rsidRDefault="0099452B" w:rsidP="0099452B">
            <w:pPr>
              <w:numPr>
                <w:ilvl w:val="0"/>
                <w:numId w:val="27"/>
              </w:numPr>
              <w:spacing w:before="0" w:after="240"/>
              <w:ind w:hanging="210"/>
              <w:jc w:val="left"/>
              <w:rPr>
                <w:szCs w:val="24"/>
              </w:rPr>
            </w:pPr>
            <w:r>
              <w:rPr>
                <w:szCs w:val="24"/>
              </w:rPr>
              <w:t xml:space="preserve">5В – 2.42 млн. евро публични разходи и </w:t>
            </w:r>
            <w:r>
              <w:rPr>
                <w:szCs w:val="24"/>
              </w:rPr>
              <w:t>19 подкрепени предприятия.</w:t>
            </w:r>
          </w:p>
          <w:p w:rsidR="002B3815" w:rsidRDefault="0099452B">
            <w:pPr>
              <w:spacing w:before="240" w:after="240"/>
              <w:jc w:val="left"/>
              <w:rPr>
                <w:szCs w:val="24"/>
              </w:rPr>
            </w:pPr>
            <w:r>
              <w:rPr>
                <w:szCs w:val="24"/>
              </w:rPr>
              <w:t>Вторият период на прием по подмярката е през 2018 г., като към 31.12.2018 г. няма сключени договори за получаване на безвъзмездна финансова помощ по този прием, по който са постъпили 538 заявления за подпомагане, на стойност 359,</w:t>
            </w:r>
            <w:r>
              <w:rPr>
                <w:szCs w:val="24"/>
              </w:rPr>
              <w:t xml:space="preserve"> 8 млн. евро публини средства.</w:t>
            </w:r>
          </w:p>
          <w:p w:rsidR="002B3815" w:rsidRDefault="0099452B">
            <w:pPr>
              <w:spacing w:before="240" w:after="240"/>
              <w:jc w:val="left"/>
              <w:rPr>
                <w:szCs w:val="24"/>
              </w:rPr>
            </w:pPr>
            <w:r>
              <w:rPr>
                <w:szCs w:val="24"/>
              </w:rPr>
              <w:t>В заключение, може да се отчете изключително високият интерес от страна на кандидатите за изпълнение на проекти, свързани с преработка на селскостопански продукти.</w:t>
            </w:r>
          </w:p>
          <w:p w:rsidR="002B3815" w:rsidRDefault="0099452B">
            <w:pPr>
              <w:spacing w:before="240" w:after="240"/>
              <w:jc w:val="left"/>
              <w:rPr>
                <w:szCs w:val="24"/>
              </w:rPr>
            </w:pPr>
            <w:r>
              <w:rPr>
                <w:szCs w:val="24"/>
              </w:rPr>
              <w:t xml:space="preserve">Наблюдава се засилен интерес не само от преработвателни </w:t>
            </w:r>
            <w:r>
              <w:rPr>
                <w:szCs w:val="24"/>
              </w:rPr>
              <w:t>предприятия, но и от земеделски стопани, което е показателно, че стремежът им е да предлагат на пазара продукти с добавена стойност, а не суровини.</w:t>
            </w:r>
          </w:p>
          <w:p w:rsidR="002B3815" w:rsidRDefault="0099452B">
            <w:pPr>
              <w:spacing w:before="240" w:after="240"/>
              <w:jc w:val="left"/>
              <w:rPr>
                <w:szCs w:val="24"/>
              </w:rPr>
            </w:pPr>
            <w:r>
              <w:rPr>
                <w:szCs w:val="24"/>
              </w:rPr>
              <w:t>Прави впечатление, че малка част от проектите имат заложени инвестиции в иновации и енергоспестяващи техноло</w:t>
            </w:r>
            <w:r>
              <w:rPr>
                <w:szCs w:val="24"/>
              </w:rPr>
              <w:t>гии, които биха били гаранция за по – висока производителност при по – ниска себестойност, като преобладаващата част от сключените договори са насочени към област на въздействие „3А“, свързана с подобряване на конкурентоспособността на първичните производи</w:t>
            </w:r>
            <w:r>
              <w:rPr>
                <w:szCs w:val="24"/>
              </w:rPr>
              <w:t>тели чрез по-доброто им интегриране в хранителната верига чрез добавяне на стойност към селскостопанки продукти.</w:t>
            </w:r>
          </w:p>
          <w:p w:rsidR="002B3815" w:rsidRDefault="0099452B">
            <w:pPr>
              <w:spacing w:before="240" w:after="240"/>
              <w:jc w:val="left"/>
              <w:rPr>
                <w:szCs w:val="24"/>
              </w:rPr>
            </w:pPr>
            <w:r>
              <w:rPr>
                <w:szCs w:val="24"/>
              </w:rPr>
              <w:t>Трябва да се обърне особено внимание по отношение прилагането на мярката, свързано с финализиране сключването на договори по прием 2015 г. и ос</w:t>
            </w:r>
            <w:r>
              <w:rPr>
                <w:szCs w:val="24"/>
              </w:rPr>
              <w:t xml:space="preserve">обено прием 2018 г. и по – конкретно относно оптимизиране на  сроковете за обработка на заявленията за подпомагане с цел осигуряване на достатъчно време за тяхното изпълнение и регулярното им финализиране в следващите години, , предвид изтичането на срока </w:t>
            </w:r>
            <w:r>
              <w:rPr>
                <w:szCs w:val="24"/>
              </w:rPr>
              <w:t>за прилагане на ПРСР 2014 – 2020 и липсата на сключени договори по този прием.</w:t>
            </w:r>
          </w:p>
          <w:p w:rsidR="002B3815" w:rsidRDefault="0099452B">
            <w:pPr>
              <w:spacing w:before="240" w:after="240"/>
              <w:jc w:val="left"/>
              <w:rPr>
                <w:szCs w:val="24"/>
              </w:rPr>
            </w:pPr>
            <w:r>
              <w:rPr>
                <w:b/>
                <w:bCs/>
                <w:szCs w:val="24"/>
              </w:rPr>
              <w:t>Подмярка 6.1 „Стартова помощ за млади земеделски стопани”</w:t>
            </w:r>
          </w:p>
          <w:p w:rsidR="002B3815" w:rsidRDefault="0099452B">
            <w:pPr>
              <w:spacing w:before="240" w:after="240"/>
              <w:jc w:val="left"/>
              <w:rPr>
                <w:szCs w:val="24"/>
              </w:rPr>
            </w:pPr>
            <w:r>
              <w:rPr>
                <w:szCs w:val="24"/>
              </w:rPr>
              <w:t>Следвайки принципа на децентрализация и с цел улеснение за земеделските стопани и намаляване на административната тежес</w:t>
            </w:r>
            <w:r>
              <w:rPr>
                <w:szCs w:val="24"/>
              </w:rPr>
              <w:t>т прилагането на подмярката е разпределено в 28 областни дирекции на Разплащателната агенция.</w:t>
            </w:r>
          </w:p>
          <w:p w:rsidR="002B3815" w:rsidRDefault="0099452B">
            <w:pPr>
              <w:spacing w:before="240" w:after="240"/>
              <w:jc w:val="left"/>
              <w:rPr>
                <w:szCs w:val="24"/>
              </w:rPr>
            </w:pPr>
            <w:r>
              <w:rPr>
                <w:szCs w:val="24"/>
              </w:rPr>
              <w:t>През 2016 г. е изплатена и финансовата помощ на одобрени кандидати по помярка 112 от ПРСР 2007-2013.</w:t>
            </w:r>
          </w:p>
          <w:p w:rsidR="002B3815" w:rsidRDefault="0099452B">
            <w:pPr>
              <w:spacing w:before="240" w:after="240"/>
              <w:jc w:val="left"/>
              <w:rPr>
                <w:szCs w:val="24"/>
              </w:rPr>
            </w:pPr>
            <w:r>
              <w:rPr>
                <w:szCs w:val="24"/>
              </w:rPr>
              <w:t>Прилагането на подмярката стартира през 2015 г., с постъпване</w:t>
            </w:r>
            <w:r>
              <w:rPr>
                <w:szCs w:val="24"/>
              </w:rPr>
              <w:t>то на 2572 заявления за подпомагане. Сключването на договори по одобрените заявления за подпомагане започва в началото на 2016 г. В рамките на година са сключени 1 355 договори за финансова помощ с размер на разходите 33.875 млн. евро. Впоследствие 51 от д</w:t>
            </w:r>
            <w:r>
              <w:rPr>
                <w:szCs w:val="24"/>
              </w:rPr>
              <w:t>оговорите са анулирани по различни причини и така финансовата помощ, по сключените през 2016 г., договори остава в размер на 32,6 млн. евро.</w:t>
            </w:r>
          </w:p>
          <w:p w:rsidR="002B3815" w:rsidRDefault="0099452B">
            <w:pPr>
              <w:spacing w:before="240" w:after="240"/>
              <w:jc w:val="left"/>
              <w:rPr>
                <w:szCs w:val="24"/>
              </w:rPr>
            </w:pPr>
            <w:r>
              <w:rPr>
                <w:szCs w:val="24"/>
              </w:rPr>
              <w:t>Договарянето на одобрените заявления за кандидатстване продължава и през 2017 и 2018 г., като са сключени:</w:t>
            </w:r>
          </w:p>
          <w:p w:rsidR="002B3815" w:rsidRDefault="0099452B">
            <w:pPr>
              <w:spacing w:before="240" w:after="240"/>
              <w:ind w:left="714"/>
              <w:jc w:val="left"/>
              <w:rPr>
                <w:szCs w:val="24"/>
              </w:rPr>
            </w:pPr>
            <w:r>
              <w:rPr>
                <w:szCs w:val="24"/>
              </w:rPr>
              <w:t>-През 20</w:t>
            </w:r>
            <w:r>
              <w:rPr>
                <w:szCs w:val="24"/>
              </w:rPr>
              <w:t>17 г. – 28 договори, от които 21 анулирани, с одобрен размер на финансовата помощ 175 хил. евро;</w:t>
            </w:r>
          </w:p>
          <w:p w:rsidR="002B3815" w:rsidRDefault="0099452B">
            <w:pPr>
              <w:spacing w:before="240" w:after="240"/>
              <w:ind w:left="714"/>
              <w:jc w:val="left"/>
              <w:rPr>
                <w:szCs w:val="24"/>
              </w:rPr>
            </w:pPr>
            <w:r>
              <w:rPr>
                <w:szCs w:val="24"/>
              </w:rPr>
              <w:t>-През 2018 г. – 12 договори с одобрен размер на финансовата помощ 300 хил. евро.</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Така общият брой на сключените договори по приема през 2016 г., без да се бр</w:t>
            </w:r>
            <w:r>
              <w:rPr>
                <w:szCs w:val="24"/>
              </w:rPr>
              <w:t>оят анулираните такива, е 1323 бр., а одобрената финансова помощ – 33.075 млн. евро.</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Към 31.12.2018 г., поради извършване на допълнителни проверки, продължава обработката на 10 заявления за подпомагане по приема, проведен през 2016 г.</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i/>
                <w:iCs/>
                <w:szCs w:val="24"/>
              </w:rPr>
              <w:t>Таблица № 11:</w:t>
            </w:r>
            <w:r>
              <w:rPr>
                <w:i/>
                <w:iCs/>
                <w:szCs w:val="24"/>
              </w:rPr>
              <w:t xml:space="preserve"> Пос</w:t>
            </w:r>
            <w:r>
              <w:rPr>
                <w:i/>
                <w:iCs/>
                <w:szCs w:val="24"/>
              </w:rPr>
              <w:t>тъпили заявления и сключени договори по подмярка 6.1 за подпомагане по години към 31.12.2018 г.</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xml:space="preserve">Към 31.12.2018 г. направените плащания по приема са в размер на 27.812 млн. евро, като детайли за плащанията по години е дадено в </w:t>
            </w:r>
            <w:r>
              <w:rPr>
                <w:b/>
                <w:bCs/>
                <w:i/>
                <w:iCs/>
                <w:szCs w:val="24"/>
              </w:rPr>
              <w:t>Таблица № 12:</w:t>
            </w:r>
            <w:r>
              <w:rPr>
                <w:i/>
                <w:iCs/>
                <w:szCs w:val="24"/>
              </w:rPr>
              <w:t xml:space="preserve"> Изплатена фина</w:t>
            </w:r>
            <w:r>
              <w:rPr>
                <w:i/>
                <w:iCs/>
                <w:szCs w:val="24"/>
              </w:rPr>
              <w:t>нсова помощ по подмярка 6.1 по години към 31.12.2018 г.</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xml:space="preserve">51.4% от проектите и публичните средства по подмярката са относими към сектор „Растениевъдство”, 33.94% към сектор „Животновъдство”, 14.66% са относими към смесени стопанства, развиващи дейността </w:t>
            </w:r>
            <w:r>
              <w:rPr>
                <w:szCs w:val="24"/>
              </w:rPr>
              <w:t>си и в двата сектора.</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i/>
                <w:iCs/>
                <w:szCs w:val="24"/>
              </w:rPr>
              <w:t>Таблица № 13:</w:t>
            </w:r>
            <w:r>
              <w:rPr>
                <w:i/>
                <w:iCs/>
                <w:szCs w:val="24"/>
              </w:rPr>
              <w:t xml:space="preserve"> Сключени договори по подмярка 6.1. по сектори към 31.12.2018 г.</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По сключените през 2016 г. договори е направено първо плащане по 1 304 от тях, а размерът на направените плащания е 16.175 млн. Евро. По 910 от догово</w:t>
            </w:r>
            <w:r>
              <w:rPr>
                <w:szCs w:val="24"/>
              </w:rPr>
              <w:t>рените през 2016 г. проекти има извършено окончателно плащане, като размерът му е  11.375 млн. евро. Общият публичен ресурс, относим към сключените през 2016 г. договори е 27.55 млн. евро.</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xml:space="preserve">По сключените през 2017 г. договори е направено първо плащане по </w:t>
            </w:r>
            <w:r>
              <w:rPr>
                <w:szCs w:val="24"/>
              </w:rPr>
              <w:t>всички 7 договора, а размерът на направените плащания е 87.5 хил. евро, колкото е и целият публичен принос по тези договори, тъй като нито един от тях не е приключен с окончателно плащане.</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xml:space="preserve">По сключените през 2018 г. договори е направено първо плащане по </w:t>
            </w:r>
            <w:r>
              <w:rPr>
                <w:szCs w:val="24"/>
              </w:rPr>
              <w:t>12 от тях, а размерът на направените плащания е 150 хил. евро. По 2 от договорените през 2018 г. проекти има извършено окончателно плащане, като размерът му е  25 хил. евро. Общият публичен ресурс, относим към сключените през 2018 г. договори е 175 хил. ев</w:t>
            </w:r>
            <w:r>
              <w:rPr>
                <w:szCs w:val="24"/>
              </w:rPr>
              <w:t>ро.</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От действащите 1323 договори по подмярката, 546 са сключени от жени, като 26 от тях са ЮЛ, собственост на жени. Това означава, че 41,13% от подпомагането е насочено към жени. </w:t>
            </w:r>
          </w:p>
          <w:p w:rsidR="002B3815" w:rsidRDefault="0099452B">
            <w:pPr>
              <w:spacing w:before="240" w:after="240"/>
              <w:jc w:val="left"/>
              <w:rPr>
                <w:szCs w:val="24"/>
              </w:rPr>
            </w:pPr>
            <w:r>
              <w:rPr>
                <w:szCs w:val="24"/>
              </w:rPr>
              <w:t xml:space="preserve">Характерният свръх интерес от страна на кандидатите по различните мерки </w:t>
            </w:r>
            <w:r>
              <w:rPr>
                <w:szCs w:val="24"/>
              </w:rPr>
              <w:t>от програмата се наблюдава и по подмярка 6.1. За разлика от подмерки 4.1 и 4.2, по подмярката са одобрени повече от половината подадени заявления за подпомагане или 58 %.</w:t>
            </w:r>
          </w:p>
          <w:p w:rsidR="002B3815" w:rsidRDefault="0099452B">
            <w:pPr>
              <w:spacing w:before="240" w:after="240"/>
              <w:jc w:val="left"/>
              <w:rPr>
                <w:szCs w:val="24"/>
              </w:rPr>
            </w:pPr>
            <w:r>
              <w:rPr>
                <w:szCs w:val="24"/>
              </w:rPr>
              <w:t xml:space="preserve">През 2018 г. е проведен втори прием по подмярката, по който са приети 1658 заявления </w:t>
            </w:r>
            <w:r>
              <w:rPr>
                <w:szCs w:val="24"/>
              </w:rPr>
              <w:t>за подпомагане на обща стойност 41,4 млн. евро, по които към 31.12.2018 г. няма подписани договори.</w:t>
            </w:r>
          </w:p>
          <w:p w:rsidR="002B3815" w:rsidRDefault="0099452B">
            <w:pPr>
              <w:spacing w:before="240" w:after="240"/>
              <w:jc w:val="left"/>
              <w:rPr>
                <w:szCs w:val="24"/>
              </w:rPr>
            </w:pPr>
            <w:r>
              <w:rPr>
                <w:szCs w:val="24"/>
              </w:rPr>
              <w:t xml:space="preserve">По приемът проведен през 2015 г. постъпилите заявления са 2 664 броя. Към 31.12.2017 г. сключените договори са 1 362 с размер на одобрена финансова помощ </w:t>
            </w:r>
            <w:r>
              <w:rPr>
                <w:szCs w:val="24"/>
              </w:rPr>
              <w:t>34,06 млн. евро. Одобрени са 52 % от постъпилите заявления в рамките на бюджета. Към 31.12.2017 г. анулираните договори са 25, а оттеглените заявления за подпомагане от кандидатите са 147. На база извършените проверки са отхвърлени 1 110 заявления за подпо</w:t>
            </w:r>
            <w:r>
              <w:rPr>
                <w:szCs w:val="24"/>
              </w:rPr>
              <w:t>магане.</w:t>
            </w:r>
          </w:p>
          <w:p w:rsidR="002B3815" w:rsidRDefault="0099452B">
            <w:pPr>
              <w:spacing w:before="240" w:after="240"/>
              <w:jc w:val="left"/>
              <w:rPr>
                <w:szCs w:val="24"/>
              </w:rPr>
            </w:pPr>
            <w:r>
              <w:rPr>
                <w:szCs w:val="24"/>
              </w:rPr>
              <w:t>През 2017 г. сключените договори са 7 с одобрена финансова помощ в размер на 0,18 млн. евро. Към 31.12.2017 г. няма приключени договори.</w:t>
            </w:r>
          </w:p>
          <w:p w:rsidR="002B3815" w:rsidRDefault="0099452B">
            <w:pPr>
              <w:spacing w:before="240" w:after="240"/>
              <w:jc w:val="left"/>
              <w:rPr>
                <w:szCs w:val="24"/>
              </w:rPr>
            </w:pPr>
            <w:r>
              <w:rPr>
                <w:szCs w:val="24"/>
              </w:rPr>
              <w:t xml:space="preserve">През 2016 г. са извършени първите плащания по сключените договори с млади земеделски стопани. Първо плащане са </w:t>
            </w:r>
            <w:r>
              <w:rPr>
                <w:szCs w:val="24"/>
              </w:rPr>
              <w:t>получили 1 512 млади земеделски стопани с обща изплатена финансова помощ в размер на 18,89 млн. евро. На база одобрените договори второ плащане се очаква да бъдат извършено през 2018 г. и 2019 г., което ще позволи да се направи анализ на изпълнението на по</w:t>
            </w:r>
            <w:r>
              <w:rPr>
                <w:szCs w:val="24"/>
              </w:rPr>
              <w:t>дмярката и приноса и към фокус област 2Б.</w:t>
            </w:r>
          </w:p>
          <w:p w:rsidR="002B3815" w:rsidRDefault="0099452B">
            <w:pPr>
              <w:spacing w:before="240" w:after="240"/>
              <w:jc w:val="left"/>
              <w:rPr>
                <w:szCs w:val="24"/>
              </w:rPr>
            </w:pPr>
            <w:r>
              <w:rPr>
                <w:szCs w:val="24"/>
              </w:rPr>
              <w:t>През 2016 г. от бюджета на ПРСР 2014-2020 са извършени и втори плащания към млади земеделски стопани, изпълняващи ангажименти по мярка 112 от ПРСР 2007-2013., като разплатени 11,6 млн. евро по 953 заявки за плащане</w:t>
            </w:r>
            <w:r>
              <w:rPr>
                <w:szCs w:val="24"/>
              </w:rPr>
              <w:t>.</w:t>
            </w:r>
          </w:p>
          <w:p w:rsidR="002B3815" w:rsidRDefault="0099452B">
            <w:pPr>
              <w:spacing w:before="240" w:after="240"/>
              <w:jc w:val="left"/>
              <w:rPr>
                <w:szCs w:val="24"/>
              </w:rPr>
            </w:pPr>
            <w:r>
              <w:rPr>
                <w:szCs w:val="24"/>
              </w:rPr>
              <w:t>Към 31.12.2017 г. размерът на разплатените средства по подмярката е 16,96 млн. евро по 1 358 заявки за плащане.</w:t>
            </w:r>
          </w:p>
          <w:p w:rsidR="002B3815" w:rsidRDefault="0099452B">
            <w:pPr>
              <w:spacing w:before="240" w:after="240"/>
              <w:jc w:val="left"/>
              <w:rPr>
                <w:szCs w:val="24"/>
              </w:rPr>
            </w:pPr>
            <w:r>
              <w:rPr>
                <w:szCs w:val="24"/>
              </w:rPr>
              <w:t>Към 31.12.2017 г. от бюджета на ПРСР 2014-2020 са извършени и плащания към млади земеделски стопани, изпълняващи ангажименти по мярка 112 от П</w:t>
            </w:r>
            <w:r>
              <w:rPr>
                <w:szCs w:val="24"/>
              </w:rPr>
              <w:t>РСР 2007-2013., като разплатените средства са в размер на 16,72 млн. евро.</w:t>
            </w:r>
          </w:p>
          <w:p w:rsidR="002B3815" w:rsidRDefault="0099452B">
            <w:pPr>
              <w:spacing w:before="240" w:after="240"/>
              <w:jc w:val="left"/>
              <w:rPr>
                <w:szCs w:val="24"/>
              </w:rPr>
            </w:pPr>
            <w:r>
              <w:rPr>
                <w:szCs w:val="24"/>
              </w:rPr>
              <w:t>Към 31.12.2018 г. изплатени средства по подмярката са в размер на 27,81 млн. Евро.</w:t>
            </w:r>
          </w:p>
          <w:p w:rsidR="002B3815" w:rsidRDefault="0099452B">
            <w:pPr>
              <w:spacing w:before="240" w:after="240"/>
              <w:jc w:val="left"/>
              <w:rPr>
                <w:szCs w:val="24"/>
              </w:rPr>
            </w:pPr>
            <w:r>
              <w:rPr>
                <w:szCs w:val="24"/>
              </w:rPr>
              <w:t>Отчитайки етапа на прилагане на подмярката и липсата на завършени проекти с изплатено второ плащан</w:t>
            </w:r>
            <w:r>
              <w:rPr>
                <w:szCs w:val="24"/>
              </w:rPr>
              <w:t xml:space="preserve">е, не могат да бъдат направени задълбочени изводи по отношение изпълнението на заложените показатели в ПРСР 2014-2020. Въпреки това на база данните от сключените договори, по които е ангажиран половината от бюджета по подмярката за целия програмен период, </w:t>
            </w:r>
            <w:r>
              <w:rPr>
                <w:szCs w:val="24"/>
              </w:rPr>
              <w:t>може да се каже, че заложените показатели във фокус област 2Б са постигнати.</w:t>
            </w:r>
          </w:p>
          <w:p w:rsidR="002B3815" w:rsidRDefault="0099452B">
            <w:pPr>
              <w:spacing w:before="240" w:after="240"/>
              <w:jc w:val="left"/>
              <w:rPr>
                <w:szCs w:val="24"/>
              </w:rPr>
            </w:pPr>
            <w:r>
              <w:rPr>
                <w:szCs w:val="24"/>
              </w:rPr>
              <w:t>На база секторното разпределение на сключените договори не е налице голям дисбаланс между сектор „животновъдство” и сектор „растениевъдство”, въпреки че 50 % от проектите са насоч</w:t>
            </w:r>
            <w:r>
              <w:rPr>
                <w:szCs w:val="24"/>
              </w:rPr>
              <w:t>ени към сектор „плодове и зеленчуци”.</w:t>
            </w:r>
          </w:p>
          <w:p w:rsidR="002B3815" w:rsidRDefault="0099452B">
            <w:pPr>
              <w:spacing w:before="240" w:after="240"/>
              <w:jc w:val="left"/>
              <w:rPr>
                <w:szCs w:val="24"/>
              </w:rPr>
            </w:pPr>
            <w:r>
              <w:rPr>
                <w:szCs w:val="24"/>
              </w:rPr>
              <w:t>Както беше отбелязано в годишния доклад за 2017 г. се запазва тенденцията от периода 2007-2013 за висок интерес от страна на младите земеделски стопани към подпомагане по мярката. Отново ключова роля за прилагане на по</w:t>
            </w:r>
            <w:r>
              <w:rPr>
                <w:szCs w:val="24"/>
              </w:rPr>
              <w:t>дмярката играе мярка 2 от ПРСР 2014-2020, която практически осигурява безплатна консултантска помощ при подготовка на документите за кандидатстване.</w:t>
            </w:r>
          </w:p>
          <w:p w:rsidR="002B3815" w:rsidRDefault="0099452B">
            <w:pPr>
              <w:spacing w:before="240" w:after="240"/>
              <w:jc w:val="left"/>
              <w:rPr>
                <w:szCs w:val="24"/>
              </w:rPr>
            </w:pPr>
            <w:r>
              <w:rPr>
                <w:szCs w:val="24"/>
              </w:rPr>
              <w:t>В процеса на изпълнение на проектите е необходимо да се направи анализ до каква степен земеделските стопани</w:t>
            </w:r>
            <w:r>
              <w:rPr>
                <w:szCs w:val="24"/>
              </w:rPr>
              <w:t xml:space="preserve"> се адаптират към правилата и изискванията на ПРСР 2014-2020.</w:t>
            </w:r>
          </w:p>
          <w:p w:rsidR="002B3815" w:rsidRDefault="0099452B">
            <w:pPr>
              <w:spacing w:before="240" w:after="240"/>
              <w:jc w:val="left"/>
              <w:rPr>
                <w:szCs w:val="24"/>
              </w:rPr>
            </w:pPr>
            <w:r>
              <w:rPr>
                <w:szCs w:val="24"/>
              </w:rPr>
              <w:t xml:space="preserve">Също така е необходимо да се обърне внимание на квалификацията на земеделските стопани и наличието на подходящо образование, свързано с подпомаганите дейности, особено за тези, които не </w:t>
            </w:r>
            <w:r>
              <w:rPr>
                <w:szCs w:val="24"/>
              </w:rPr>
              <w:t>притежават такова към момента на своето кандидатстване, с цел осигуряване на възможност за обучение в различни курсове чрез механизмите на ПРСР.</w:t>
            </w:r>
          </w:p>
          <w:p w:rsidR="002B3815" w:rsidRDefault="0099452B">
            <w:pPr>
              <w:spacing w:before="240" w:after="240"/>
              <w:jc w:val="left"/>
              <w:rPr>
                <w:szCs w:val="24"/>
              </w:rPr>
            </w:pPr>
            <w:r>
              <w:rPr>
                <w:szCs w:val="24"/>
              </w:rPr>
              <w:t>През 2017 г. ДФ „Земеделие“ в съответствие с актуализирания индикативен график по ПРСР през календарната 2017 г</w:t>
            </w:r>
            <w:r>
              <w:rPr>
                <w:szCs w:val="24"/>
              </w:rPr>
              <w:t>. подготви проект на обява за откриване на процедурата чрез подбор по подмярка 6.1 "Стартова помощ за млади земеделски стопани" от мярка 6 "Развитие на стопанства и предприятия" от Програмата за развитие на селските райони за периода 2014 - 2020 г. на осно</w:t>
            </w:r>
            <w:r>
              <w:rPr>
                <w:szCs w:val="24"/>
              </w:rPr>
              <w:t>вание чл. 22 от Наредба № 14 от 2015 г. за прилагане на подмярка 6.1 „Стартова помощ за млади земеделски стопани“ от мярка 6 „Развитие на стопанства и предприятия“ от Програмата за развитие на селските райони за периода 2014 - 2020 г. (Наредба № 14 от 2015</w:t>
            </w:r>
            <w:r>
              <w:rPr>
                <w:szCs w:val="24"/>
              </w:rPr>
              <w:t xml:space="preserve"> г.). След проведения прием през 2015 г. остатъчния бюджет по подмярката е в размер на 41 500 000 евро.  Съгласно т. 19.2 от ПРСР 2014-2020 финансовите средства за второто плащане за бенефициенти, изпълняващи договори по мярка 112 „Създаване на стопанства </w:t>
            </w:r>
            <w:r>
              <w:rPr>
                <w:szCs w:val="24"/>
              </w:rPr>
              <w:t>на млади фермери“ от ПРСР 2007-2013 следва да бъдат отнесени към бюджета на подмярка 6.1 „Стартова помощ за млади земеделски производители“ от ПРСР 2014-2020 г. В бюджета на същата са резервирани финансови средства за ангажименти по мярка 112 „Създаване на</w:t>
            </w:r>
            <w:r>
              <w:rPr>
                <w:szCs w:val="24"/>
              </w:rPr>
              <w:t xml:space="preserve"> стопанства на млади фермери“ от ПРСР 2007-2013 г. в размер на около 19 000 000 евро. Поради тази причина предвиденият бюджет за предстоящия прием е в размер на 22 500 000 евро.</w:t>
            </w:r>
          </w:p>
          <w:p w:rsidR="002B3815" w:rsidRDefault="0099452B">
            <w:pPr>
              <w:spacing w:before="240" w:after="240"/>
              <w:jc w:val="left"/>
              <w:rPr>
                <w:szCs w:val="24"/>
              </w:rPr>
            </w:pPr>
            <w:r>
              <w:rPr>
                <w:szCs w:val="24"/>
              </w:rPr>
              <w:t>Целта на процедурата е да се:</w:t>
            </w:r>
          </w:p>
          <w:p w:rsidR="002B3815" w:rsidRDefault="0099452B">
            <w:pPr>
              <w:spacing w:before="240" w:after="240"/>
              <w:jc w:val="left"/>
              <w:rPr>
                <w:szCs w:val="24"/>
              </w:rPr>
            </w:pPr>
            <w:r>
              <w:rPr>
                <w:szCs w:val="24"/>
              </w:rPr>
              <w:t xml:space="preserve">- улесни и подпомогне процеса на създаването на </w:t>
            </w:r>
            <w:r>
              <w:rPr>
                <w:szCs w:val="24"/>
              </w:rPr>
              <w:t>жизнеспособни и устойчиви земеделски стопанства или поемането от млади хора на вече съществуващи стопанства;</w:t>
            </w:r>
          </w:p>
          <w:p w:rsidR="002B3815" w:rsidRDefault="0099452B">
            <w:pPr>
              <w:spacing w:before="240" w:after="240"/>
              <w:jc w:val="left"/>
              <w:rPr>
                <w:szCs w:val="24"/>
              </w:rPr>
            </w:pPr>
            <w:r>
              <w:rPr>
                <w:szCs w:val="24"/>
              </w:rPr>
              <w:t>- насърчи заетостта.</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Подмярка 6.3 „Стартова помощ за развитието на малки стопанства”</w:t>
            </w:r>
          </w:p>
          <w:p w:rsidR="002B3815" w:rsidRDefault="0099452B">
            <w:pPr>
              <w:spacing w:before="240" w:after="240"/>
              <w:jc w:val="left"/>
              <w:rPr>
                <w:szCs w:val="24"/>
              </w:rPr>
            </w:pPr>
            <w:r>
              <w:rPr>
                <w:szCs w:val="24"/>
              </w:rPr>
              <w:t>Прилагането на подмярката стартира през 2016 г., това е първ</w:t>
            </w:r>
            <w:r>
              <w:rPr>
                <w:szCs w:val="24"/>
              </w:rPr>
              <w:t xml:space="preserve">ия целенасочен прием за малки стопанства в ПРСР 2014-2020. По този начин се стартира и реалното прилагане на специално разработената Тематична подпрограма за малки стопанства за територията на страната. С цел улеснение за земеделските стопани и намаляване </w:t>
            </w:r>
            <w:r>
              <w:rPr>
                <w:szCs w:val="24"/>
              </w:rPr>
              <w:t>на административната тежест по подобие на подмярка 6.1 прилагането на подмярката е децентрализирано в 28 областни дирекции на Разплащателната агенция.</w:t>
            </w:r>
          </w:p>
          <w:p w:rsidR="002B3815" w:rsidRDefault="0099452B">
            <w:pPr>
              <w:spacing w:before="240" w:after="240"/>
              <w:jc w:val="left"/>
              <w:rPr>
                <w:szCs w:val="24"/>
              </w:rPr>
            </w:pPr>
            <w:r>
              <w:rPr>
                <w:szCs w:val="24"/>
              </w:rPr>
              <w:t>Постъпилите заявления са 3 433, от които към края на 2018 г. със сключени договори са 1925 г. Общият разм</w:t>
            </w:r>
            <w:r>
              <w:rPr>
                <w:szCs w:val="24"/>
              </w:rPr>
              <w:t>ер на одобрената финансова помощ е в размер на 24,93 млн. евро. Към 31.12.2018 г. проектите с окончателно плащане са 1153 бр., а стойността на изплатената субсидия е  17,29 млн. евро.</w:t>
            </w:r>
          </w:p>
          <w:p w:rsidR="002B3815" w:rsidRDefault="0099452B">
            <w:pPr>
              <w:spacing w:before="240" w:after="240"/>
              <w:jc w:val="left"/>
              <w:rPr>
                <w:szCs w:val="24"/>
              </w:rPr>
            </w:pPr>
            <w:r>
              <w:rPr>
                <w:b/>
                <w:bCs/>
                <w:i/>
                <w:iCs/>
                <w:szCs w:val="24"/>
              </w:rPr>
              <w:t xml:space="preserve">Таблица № 15: </w:t>
            </w:r>
            <w:r>
              <w:rPr>
                <w:i/>
                <w:iCs/>
                <w:szCs w:val="24"/>
              </w:rPr>
              <w:t> Постъпили заявления и сключени договори за подпомагане по</w:t>
            </w:r>
            <w:r>
              <w:rPr>
                <w:i/>
                <w:iCs/>
                <w:szCs w:val="24"/>
              </w:rPr>
              <w:t xml:space="preserve"> подмярка 6.3 по години към 31.12.2018 г.</w:t>
            </w:r>
          </w:p>
          <w:p w:rsidR="002B3815" w:rsidRDefault="0099452B">
            <w:pPr>
              <w:spacing w:before="240" w:after="240"/>
              <w:jc w:val="left"/>
              <w:rPr>
                <w:szCs w:val="24"/>
              </w:rPr>
            </w:pPr>
            <w:r>
              <w:rPr>
                <w:szCs w:val="24"/>
              </w:rPr>
              <w:t>Въпреки децентрализираният подход на прием и обработка на заявленията за подпомагане се наблюдава забавяне в процеса по обработка на заявленията, което трябва да се анализира преди определяне на бъдещи периоди на п</w:t>
            </w:r>
            <w:r>
              <w:rPr>
                <w:szCs w:val="24"/>
              </w:rPr>
              <w:t>рием и да бъдат предприети действия за спазване нормативно определените срокове.</w:t>
            </w:r>
          </w:p>
          <w:p w:rsidR="002B3815" w:rsidRDefault="0099452B">
            <w:pPr>
              <w:spacing w:before="240" w:after="240"/>
              <w:jc w:val="left"/>
              <w:rPr>
                <w:szCs w:val="24"/>
              </w:rPr>
            </w:pPr>
            <w:r>
              <w:rPr>
                <w:szCs w:val="24"/>
              </w:rPr>
              <w:t>Критериите за оценка на проекти са обвързани с икономическия размер на малките земеделски стопанства, които са твърде разнообразни като стуктура, което усложнява тяхното класи</w:t>
            </w:r>
            <w:r>
              <w:rPr>
                <w:szCs w:val="24"/>
              </w:rPr>
              <w:t>ране предвид големият обем на постъпили заявления и процедурата за обжалване на получените оценки по проектите, както и децентрализираното управление и обобщаване на информацията.</w:t>
            </w:r>
          </w:p>
          <w:p w:rsidR="002B3815" w:rsidRDefault="0099452B">
            <w:pPr>
              <w:spacing w:before="240" w:after="240"/>
              <w:jc w:val="left"/>
              <w:rPr>
                <w:szCs w:val="24"/>
              </w:rPr>
            </w:pPr>
            <w:r>
              <w:rPr>
                <w:szCs w:val="24"/>
              </w:rPr>
              <w:t>Във връзка с посочените условия и правила за прилагане на подмярката и предв</w:t>
            </w:r>
            <w:r>
              <w:rPr>
                <w:szCs w:val="24"/>
              </w:rPr>
              <w:t>ид децентрализираното й прилагане, е на лице забавяне на процеса на договорирането на проектите, което бе преодоляно още в началото на 2017 г. въз основа на предприетия единен подход за разглеждане и оценка на проектните предложения. </w:t>
            </w:r>
          </w:p>
          <w:p w:rsidR="002B3815" w:rsidRDefault="0099452B">
            <w:pPr>
              <w:spacing w:before="240" w:after="240"/>
              <w:jc w:val="left"/>
              <w:rPr>
                <w:szCs w:val="24"/>
              </w:rPr>
            </w:pPr>
            <w:r>
              <w:rPr>
                <w:b/>
                <w:bCs/>
                <w:i/>
                <w:iCs/>
                <w:szCs w:val="24"/>
              </w:rPr>
              <w:t>Таблица № 16:</w:t>
            </w:r>
            <w:r>
              <w:rPr>
                <w:i/>
                <w:iCs/>
                <w:szCs w:val="24"/>
              </w:rPr>
              <w:t>  Изплат</w:t>
            </w:r>
            <w:r>
              <w:rPr>
                <w:i/>
                <w:iCs/>
                <w:szCs w:val="24"/>
              </w:rPr>
              <w:t>ена финансова помощ по подмярка 6.3 по години към 31.12.2018 г.</w:t>
            </w:r>
          </w:p>
          <w:p w:rsidR="002B3815" w:rsidRDefault="0099452B">
            <w:pPr>
              <w:spacing w:before="240" w:after="240"/>
              <w:jc w:val="left"/>
              <w:rPr>
                <w:szCs w:val="24"/>
              </w:rPr>
            </w:pPr>
            <w:r>
              <w:rPr>
                <w:b/>
                <w:bCs/>
                <w:szCs w:val="24"/>
              </w:rPr>
              <w:t>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w:t>
            </w:r>
          </w:p>
          <w:p w:rsidR="002B3815" w:rsidRDefault="0099452B">
            <w:pPr>
              <w:spacing w:before="240" w:after="240"/>
              <w:jc w:val="left"/>
              <w:rPr>
                <w:szCs w:val="24"/>
              </w:rPr>
            </w:pPr>
            <w:r>
              <w:rPr>
                <w:szCs w:val="24"/>
              </w:rPr>
              <w:t>Пъ</w:t>
            </w:r>
            <w:r>
              <w:rPr>
                <w:szCs w:val="24"/>
              </w:rPr>
              <w:t>рвият прием по подмярката беше проведен в периода от 2 септември 2016 г. до 3 октомври 2016 г. съгласно Заповед № РД09-552 от 02 август 2016 г.</w:t>
            </w:r>
          </w:p>
          <w:p w:rsidR="002B3815" w:rsidRDefault="0099452B">
            <w:pPr>
              <w:spacing w:before="240" w:after="240"/>
              <w:jc w:val="left"/>
              <w:rPr>
                <w:szCs w:val="24"/>
              </w:rPr>
            </w:pPr>
            <w:r>
              <w:rPr>
                <w:szCs w:val="24"/>
              </w:rPr>
              <w:t>През периода на прием са подадени 938 заявления за подпомагане с общ размер на заявената финансова помощ, възлиз</w:t>
            </w:r>
            <w:r>
              <w:rPr>
                <w:szCs w:val="24"/>
              </w:rPr>
              <w:t>ащ на1.090 млрд. евро.</w:t>
            </w:r>
          </w:p>
          <w:p w:rsidR="002B3815" w:rsidRDefault="0099452B">
            <w:pPr>
              <w:spacing w:before="240" w:after="240"/>
              <w:jc w:val="left"/>
              <w:rPr>
                <w:szCs w:val="24"/>
              </w:rPr>
            </w:pPr>
            <w:r>
              <w:rPr>
                <w:szCs w:val="24"/>
              </w:rPr>
              <w:t>През 2018 г. е обявен втори прием по подмярката, по който към 31.12.2018 г. няма сключени договори. </w:t>
            </w:r>
          </w:p>
          <w:p w:rsidR="002B3815" w:rsidRDefault="0099452B">
            <w:pPr>
              <w:spacing w:before="240" w:after="240"/>
              <w:jc w:val="left"/>
              <w:rPr>
                <w:szCs w:val="24"/>
              </w:rPr>
            </w:pPr>
            <w:r>
              <w:rPr>
                <w:szCs w:val="24"/>
              </w:rPr>
              <w:t>Със Заповед № РД09-988 от 14.12.2016 г. на Министъра на земеделието и храните е определен извънреден прием на заявления за подпомага</w:t>
            </w:r>
            <w:r>
              <w:rPr>
                <w:szCs w:val="24"/>
              </w:rPr>
              <w:t>не за община Хитрино с начална дата 16.01.2017 г. и крайна дата 16.03.2017 г. Приемът на заявления е удължен със Заповед № РД09-177 от 07.03.2017 г. на Министъра на земеделието и храните до 28.04.2017 г.</w:t>
            </w:r>
          </w:p>
          <w:p w:rsidR="002B3815" w:rsidRDefault="0099452B">
            <w:pPr>
              <w:spacing w:before="240" w:after="240"/>
              <w:jc w:val="left"/>
              <w:rPr>
                <w:szCs w:val="24"/>
              </w:rPr>
            </w:pPr>
            <w:r>
              <w:rPr>
                <w:szCs w:val="24"/>
              </w:rPr>
              <w:t>Финансовата помощ за приетите заявление за подпомага</w:t>
            </w:r>
            <w:r>
              <w:rPr>
                <w:szCs w:val="24"/>
              </w:rPr>
              <w:t>не в периода на приема е в размер до левовата равностойност на 10 000 000 евро.</w:t>
            </w:r>
          </w:p>
          <w:p w:rsidR="002B3815" w:rsidRDefault="0099452B">
            <w:pPr>
              <w:spacing w:before="240" w:after="240"/>
              <w:jc w:val="left"/>
              <w:rPr>
                <w:szCs w:val="24"/>
              </w:rPr>
            </w:pPr>
            <w:r>
              <w:rPr>
                <w:szCs w:val="24"/>
              </w:rPr>
              <w:t>В рамките на проведения период на прием в ДФ „Земеделие“– Разплащателна агенция са приети 13 броя проекти със заявена финансова помощ 9 995 711,64 евро. Най-много проекти са по</w:t>
            </w:r>
            <w:r>
              <w:rPr>
                <w:szCs w:val="24"/>
              </w:rPr>
              <w:t>стъпили по дейността „Строителство, реконструкция и/или рехабилитация на нови и съществуващи улици и тротоари и съоръженията и принадлежностите към тях“ – 5 броя, като за тях заявената финансова помощ възлиза на 3 888 377, 47 евро. Към 31.12.2018 г. са одо</w:t>
            </w:r>
            <w:r>
              <w:rPr>
                <w:szCs w:val="24"/>
              </w:rPr>
              <w:t>брени 13 бр. заявления за подпомагане на обща стойност 8 721 104,92 евро., като към същата дата няма извършени плащания по проектите.</w:t>
            </w:r>
          </w:p>
          <w:p w:rsidR="002B3815" w:rsidRDefault="0099452B">
            <w:pPr>
              <w:spacing w:before="240" w:after="240"/>
              <w:jc w:val="left"/>
              <w:rPr>
                <w:szCs w:val="24"/>
              </w:rPr>
            </w:pPr>
            <w:r>
              <w:rPr>
                <w:b/>
                <w:bCs/>
                <w:i/>
                <w:iCs/>
                <w:szCs w:val="24"/>
              </w:rPr>
              <w:t xml:space="preserve">Таблица № 17: </w:t>
            </w:r>
            <w:r>
              <w:rPr>
                <w:i/>
                <w:iCs/>
                <w:szCs w:val="24"/>
              </w:rPr>
              <w:t> Одобрена субсидия за проектни предложения по подмярка 7.2 към 31.12.2018 г. за Община Хитрино</w:t>
            </w:r>
          </w:p>
          <w:p w:rsidR="002B3815" w:rsidRDefault="0099452B">
            <w:pPr>
              <w:spacing w:before="240" w:after="240"/>
              <w:jc w:val="left"/>
              <w:rPr>
                <w:szCs w:val="24"/>
              </w:rPr>
            </w:pPr>
            <w:r>
              <w:rPr>
                <w:szCs w:val="24"/>
              </w:rPr>
              <w:t>Към 31.12.201</w:t>
            </w:r>
            <w:r>
              <w:rPr>
                <w:szCs w:val="24"/>
              </w:rPr>
              <w:t>8 г. са сключени 312 договора (без договорите по приема, обявен за Община Хитрино) по първи прием на подмярката със стойност на одобрената субсидия в размер на 413 053 472,93 евро, най - много от които са за дейността „Строителство, реконструкция и/или рех</w:t>
            </w:r>
            <w:r>
              <w:rPr>
                <w:szCs w:val="24"/>
              </w:rPr>
              <w:t>абилитация на нови и съществуващи общински пътища и съоръженията и принадлежностите към тях“.</w:t>
            </w:r>
          </w:p>
          <w:p w:rsidR="002B3815" w:rsidRDefault="0099452B">
            <w:pPr>
              <w:spacing w:before="240" w:after="240"/>
              <w:jc w:val="left"/>
              <w:rPr>
                <w:szCs w:val="24"/>
              </w:rPr>
            </w:pPr>
            <w:r>
              <w:rPr>
                <w:b/>
                <w:bCs/>
                <w:i/>
                <w:iCs/>
                <w:szCs w:val="24"/>
              </w:rPr>
              <w:t xml:space="preserve">Таблица № 18: </w:t>
            </w:r>
            <w:r>
              <w:rPr>
                <w:i/>
                <w:iCs/>
                <w:szCs w:val="24"/>
              </w:rPr>
              <w:t> Одобрена субсидия за проектни предложения по подмярка 7.2 към 31.12.2018 г.</w:t>
            </w:r>
          </w:p>
          <w:p w:rsidR="002B3815" w:rsidRDefault="0099452B">
            <w:pPr>
              <w:spacing w:before="240" w:after="240"/>
              <w:jc w:val="left"/>
              <w:rPr>
                <w:szCs w:val="24"/>
              </w:rPr>
            </w:pPr>
            <w:r>
              <w:rPr>
                <w:szCs w:val="24"/>
              </w:rPr>
              <w:t>Към 31.12.2018 г. по сключени 312 договора (без договорите по приема, о</w:t>
            </w:r>
            <w:r>
              <w:rPr>
                <w:szCs w:val="24"/>
              </w:rPr>
              <w:t>бявен за Община Хитрино) са платени 120 бр. заявки за плащане, от които 115 са авансови на стойност 22 028 027,09 евро, 2 са междинни на стойност 230 195,03 евро и 3 са извършените окончателни плащания на обща стойност 153 033,61 евро.</w:t>
            </w:r>
          </w:p>
          <w:p w:rsidR="002B3815" w:rsidRDefault="0099452B">
            <w:pPr>
              <w:spacing w:before="240" w:after="240"/>
              <w:jc w:val="left"/>
              <w:rPr>
                <w:szCs w:val="24"/>
              </w:rPr>
            </w:pPr>
            <w:r>
              <w:rPr>
                <w:b/>
                <w:bCs/>
                <w:i/>
                <w:iCs/>
                <w:szCs w:val="24"/>
              </w:rPr>
              <w:t>Таблица № 19:</w:t>
            </w:r>
            <w:r>
              <w:rPr>
                <w:i/>
                <w:iCs/>
                <w:szCs w:val="24"/>
              </w:rPr>
              <w:t xml:space="preserve">  </w:t>
            </w:r>
            <w:r>
              <w:rPr>
                <w:i/>
                <w:iCs/>
                <w:szCs w:val="24"/>
              </w:rPr>
              <w:t>Изплатена финансова помощ по подмярка 7.2 по години към 31.12.2018 г.</w:t>
            </w:r>
          </w:p>
          <w:p w:rsidR="002B3815" w:rsidRDefault="0099452B">
            <w:pPr>
              <w:spacing w:before="240" w:after="240"/>
              <w:jc w:val="left"/>
              <w:rPr>
                <w:szCs w:val="24"/>
              </w:rPr>
            </w:pPr>
            <w:r>
              <w:rPr>
                <w:szCs w:val="24"/>
              </w:rPr>
              <w:t>В ПРСР е въведено изискване авансовите плащания за проекти, по които бенефициенти са възложители по ЗОП да се изплащат до 12% от стойността на одобрената публична помощ по проекта за общ</w:t>
            </w:r>
            <w:r>
              <w:rPr>
                <w:szCs w:val="24"/>
              </w:rPr>
              <w:t>и разходи и при наличие на документи от проведена съгласно изискванията на ЗОП процедура за избор на изпълнител/и, а разликата до 50% от стойността на одобрената публична помощ по проекта, след провеждане на всички процедури и сключване на договор за избор</w:t>
            </w:r>
            <w:r>
              <w:rPr>
                <w:szCs w:val="24"/>
              </w:rPr>
              <w:t xml:space="preserve"> на изпълнител/и по ЗОП.</w:t>
            </w:r>
          </w:p>
          <w:p w:rsidR="002B3815" w:rsidRDefault="0099452B">
            <w:pPr>
              <w:spacing w:before="240" w:after="240"/>
              <w:jc w:val="left"/>
              <w:rPr>
                <w:szCs w:val="24"/>
              </w:rPr>
            </w:pPr>
            <w:r>
              <w:rPr>
                <w:b/>
                <w:bCs/>
                <w:szCs w:val="24"/>
              </w:rPr>
              <w:t xml:space="preserve">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w:t>
            </w:r>
            <w:r>
              <w:rPr>
                <w:b/>
                <w:bCs/>
                <w:szCs w:val="24"/>
              </w:rPr>
              <w:t>правителство“ от мярка 7 “Основни услуги и обновяване на селата в селските райони”</w:t>
            </w:r>
          </w:p>
          <w:p w:rsidR="002B3815" w:rsidRDefault="0099452B">
            <w:pPr>
              <w:spacing w:before="240" w:after="240"/>
              <w:jc w:val="left"/>
              <w:rPr>
                <w:szCs w:val="24"/>
              </w:rPr>
            </w:pPr>
            <w:r>
              <w:rPr>
                <w:szCs w:val="24"/>
              </w:rPr>
              <w:t>На проведено на 20.07.2017 г. седмо заседание на Комитета за наблюдение на Програмата за развитие на селските райони (2014 – 2020 г.) са предложени и приети критерии за подб</w:t>
            </w:r>
            <w:r>
              <w:rPr>
                <w:szCs w:val="24"/>
              </w:rPr>
              <w:t>ор на проектни предложения по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w:t>
            </w:r>
            <w:r>
              <w:rPr>
                <w:szCs w:val="24"/>
              </w:rPr>
              <w:t>нно правителство“ от мярка 7 „Основни услуги и обновяване на селата в селските райони“  от Програмата за развитие на селските райони  (2014 – 2020).</w:t>
            </w:r>
          </w:p>
          <w:p w:rsidR="002B3815" w:rsidRDefault="0099452B">
            <w:pPr>
              <w:spacing w:before="240" w:after="240"/>
              <w:jc w:val="left"/>
              <w:rPr>
                <w:szCs w:val="24"/>
              </w:rPr>
            </w:pPr>
            <w:r>
              <w:rPr>
                <w:szCs w:val="24"/>
              </w:rPr>
              <w:t xml:space="preserve">Мярка 7.3 изпълнява две цели, не само по ПРСР, но и цели поставени в одобрения Национален план за развитие </w:t>
            </w:r>
            <w:r>
              <w:rPr>
                <w:szCs w:val="24"/>
              </w:rPr>
              <w:t>на електронното управление (Национален план за развитие на е-правителство). Подмярката е съгласувана и с Национална стратегия за развитие на широколентовия достъп в България. Като такава, част от дейността й подпомага целите на Държавна агенция електроннот</w:t>
            </w:r>
            <w:r>
              <w:rPr>
                <w:szCs w:val="24"/>
              </w:rPr>
              <w:t>о управление (ДАЕУ). Поради това ДАЕУ е единствен бенефициент. Целите на мярката са съобразени и с тези на DAE ( Digital Agenda Europe ), а именно – до 2020 г., 100% от населението в селските райони да има възможност за ДСП (достъп от следващо поколение, N</w:t>
            </w:r>
            <w:r>
              <w:rPr>
                <w:szCs w:val="24"/>
              </w:rPr>
              <w:t>ext Generation Access) с капацитет от минимум 30 мегабита за секунда. В тази връзка, едната от целите (касаеща развитието на електронното управление) е да се изгради оптична свързаност до всички общински центрове.</w:t>
            </w:r>
          </w:p>
          <w:p w:rsidR="002B3815" w:rsidRDefault="0099452B">
            <w:pPr>
              <w:spacing w:before="240" w:after="240"/>
              <w:jc w:val="left"/>
              <w:rPr>
                <w:szCs w:val="24"/>
              </w:rPr>
            </w:pPr>
            <w:r>
              <w:rPr>
                <w:szCs w:val="24"/>
              </w:rPr>
              <w:t xml:space="preserve">По отношение постигане на целите за ДСП в </w:t>
            </w:r>
            <w:r>
              <w:rPr>
                <w:szCs w:val="24"/>
              </w:rPr>
              <w:t>селски райони съгласно Digital Agenda Europe, се дават 20 точки за изграждането на широколентова инфраструктура в белите зони. Основната тежест е там, защото от една страна се предполага, че на тези места няма оператори, които доставят достъп от следващо п</w:t>
            </w:r>
            <w:r>
              <w:rPr>
                <w:szCs w:val="24"/>
              </w:rPr>
              <w:t>околение, а от друга, защото се предполага, че са налице market failure условия които възпрепятстват развитието на конкурентни и икономически рентабилни условия за развитие широколентовия достъп в селските райони. Поради ограничения бюджет на мярката, допъ</w:t>
            </w:r>
            <w:r>
              <w:rPr>
                <w:szCs w:val="24"/>
              </w:rPr>
              <w:t>лняемостта с други инфраструктурни проекти, в съответствие с Директивата за мерките за намаляване на разходите за разгръщане на високоскоростни електронни съобщителни мрежи ще даде тежест 10 точки допълнително. 20 точки се дават за съвместно ползване на ин</w:t>
            </w:r>
            <w:r>
              <w:rPr>
                <w:szCs w:val="24"/>
              </w:rPr>
              <w:t>фраструктурата. Четвъртият критерий показва по-голям брой население, което ще се възползва от допустимите дейности. От 3000 до 5000 човека ще получат 10 точки, а зоните с население над 5000 - 15 точки. Свързаността с общински център е 20 точки. Включването</w:t>
            </w:r>
            <w:r>
              <w:rPr>
                <w:szCs w:val="24"/>
              </w:rPr>
              <w:t xml:space="preserve"> на дейности, свързани с широколентов достъп от следващо поколение в общинските планове за развитие ще даде 5 точки. Последният критерий е иновативните технически решения, който дава 10 точки.</w:t>
            </w:r>
          </w:p>
          <w:p w:rsidR="002B3815" w:rsidRDefault="0099452B">
            <w:pPr>
              <w:spacing w:before="240" w:after="240"/>
              <w:jc w:val="left"/>
              <w:rPr>
                <w:szCs w:val="24"/>
              </w:rPr>
            </w:pPr>
            <w:r>
              <w:rPr>
                <w:szCs w:val="24"/>
              </w:rPr>
              <w:t>Основните проблеми свързани с подмярка 7.3 са липсата на гаранц</w:t>
            </w:r>
            <w:r>
              <w:rPr>
                <w:szCs w:val="24"/>
              </w:rPr>
              <w:t>ия, че след изграждане на оптична инфраструктура в общинските центрове, ще се появи интерес от операторите да развият т.нар. последна миля ( last mile ), което реално е необходимо условия за да има възможност населението да има достъп до широколентови услу</w:t>
            </w:r>
            <w:r>
              <w:rPr>
                <w:szCs w:val="24"/>
              </w:rPr>
              <w:t>ги от следващо поколение и да може да се счете целта на подмярката за изпълнен. Другите проблеми свързани с подмярката се определят от възникването на необходимост от нотифициране на държавна помощ, тъй като инфраструктурата би следвало да генерира приходи</w:t>
            </w:r>
            <w:r>
              <w:rPr>
                <w:szCs w:val="24"/>
              </w:rPr>
              <w:t xml:space="preserve"> и е възможно да дебалансира принципите за равни конкурентни условия между участниците на пазара на услуги свързани с широколентов достъп. С цел решаване на възникналите проблеми в най-кратки срокове предстои създаването на работна група свързана с проблем</w:t>
            </w:r>
            <w:r>
              <w:rPr>
                <w:szCs w:val="24"/>
              </w:rPr>
              <w:t>ите по подмярка 7.3 с представители от МЗХГ/РСР, МТИТС, ДАЕУ и ДФЗ. Тъй като нотифицирането  на държавна помощ би следвало да бъде от страна на ДАЕУ, представителите на МЗХГ и в частност дирекция РСР, ще подпомогне дейността с необходимите мерки и стъпки п</w:t>
            </w:r>
            <w:r>
              <w:rPr>
                <w:szCs w:val="24"/>
              </w:rPr>
              <w:t>о улесняване на целия процес и изчистване на неясните етапи по отношение развитието на широколентовия достъп в България и в това число възникването на държавна помощ. Същевременно за средата на 2018 г. беше предвидено организирането на работна среща с комп</w:t>
            </w:r>
            <w:r>
              <w:rPr>
                <w:szCs w:val="24"/>
              </w:rPr>
              <w:t>етентните дирекции в ЕК по разискване проблемите възникнали с нотифициране на държавна помощ. На срещата ще присъстват и компетентни представители на директния бенефициент ДАЕУ.</w:t>
            </w:r>
          </w:p>
          <w:p w:rsidR="002B3815" w:rsidRDefault="0099452B">
            <w:pPr>
              <w:spacing w:before="240" w:after="240"/>
              <w:jc w:val="left"/>
              <w:rPr>
                <w:szCs w:val="24"/>
              </w:rPr>
            </w:pPr>
            <w:r>
              <w:rPr>
                <w:b/>
                <w:bCs/>
                <w:szCs w:val="24"/>
              </w:rPr>
              <w:t>Подмярка 7.6. „Проучване и инвестиции, свързани с поддържане, възстановяване и</w:t>
            </w:r>
            <w:r>
              <w:rPr>
                <w:b/>
                <w:bCs/>
                <w:szCs w:val="24"/>
              </w:rPr>
              <w:t xml:space="preserve"> подобряване на културното и природно наследство на селата” от мярка 7 „Основни услуги и обновяване на селата в селските райони“.</w:t>
            </w:r>
          </w:p>
          <w:p w:rsidR="002B3815" w:rsidRDefault="0099452B">
            <w:pPr>
              <w:spacing w:before="240" w:after="240"/>
              <w:jc w:val="left"/>
              <w:rPr>
                <w:szCs w:val="24"/>
              </w:rPr>
            </w:pPr>
            <w:r>
              <w:rPr>
                <w:szCs w:val="24"/>
              </w:rPr>
              <w:t>Във връзка със Заповед № РД09-179 от 07.04.2016 г. е определен на период за прием на заявления за подпомагане по реда на Наред</w:t>
            </w:r>
            <w:r>
              <w:rPr>
                <w:szCs w:val="24"/>
              </w:rPr>
              <w:t>ба № 6 от 2016 г. с начална дата 09.05.2016 г. и крайна дата 03.06.2016 г. В рамките на периода на прием е определен разполагаем бюджет в размер на левовата равностойност на 25 000 000 евро. В периода на прием са постъпили общо 348 заявления за предоставян</w:t>
            </w:r>
            <w:r>
              <w:rPr>
                <w:szCs w:val="24"/>
              </w:rPr>
              <w:t>е на финансова помощ с общ размер на заявените инвестиции от 107 246 332 евро. Към 31 декември 2018 г. са сключени 91 договора на обща стойност над 26 024 616,63 евро.</w:t>
            </w:r>
          </w:p>
          <w:p w:rsidR="002B3815" w:rsidRDefault="0099452B">
            <w:pPr>
              <w:spacing w:before="240" w:after="240"/>
              <w:jc w:val="left"/>
              <w:rPr>
                <w:szCs w:val="24"/>
              </w:rPr>
            </w:pPr>
            <w:r>
              <w:rPr>
                <w:b/>
                <w:bCs/>
                <w:i/>
                <w:iCs/>
                <w:szCs w:val="24"/>
              </w:rPr>
              <w:t>Таблица № 20</w:t>
            </w:r>
            <w:r>
              <w:rPr>
                <w:i/>
                <w:iCs/>
                <w:szCs w:val="24"/>
              </w:rPr>
              <w:t xml:space="preserve">:  Одобрена субсидия за проектни предложения по подмярка 7.6 към 31.12.2018 </w:t>
            </w:r>
            <w:r>
              <w:rPr>
                <w:i/>
                <w:iCs/>
                <w:szCs w:val="24"/>
              </w:rPr>
              <w:t>г.</w:t>
            </w:r>
          </w:p>
          <w:p w:rsidR="002B3815" w:rsidRDefault="0099452B">
            <w:pPr>
              <w:spacing w:before="240" w:after="240"/>
              <w:jc w:val="left"/>
              <w:rPr>
                <w:szCs w:val="24"/>
              </w:rPr>
            </w:pPr>
            <w:r>
              <w:rPr>
                <w:szCs w:val="24"/>
              </w:rPr>
              <w:t>По сключените договори към 31.12.2018 г. са изплатени 40 бр. авансови плащания на стойност 5 724 593,86 евро, 10 бр. междинни на стойност 1 190 954,67 евро и 15 бр. окончателни плащания на обща стойност 2 919 460,27 евро.</w:t>
            </w:r>
          </w:p>
          <w:p w:rsidR="002B3815" w:rsidRDefault="0099452B">
            <w:pPr>
              <w:spacing w:before="240" w:after="240"/>
              <w:jc w:val="left"/>
              <w:rPr>
                <w:szCs w:val="24"/>
              </w:rPr>
            </w:pPr>
            <w:r>
              <w:rPr>
                <w:b/>
                <w:bCs/>
                <w:i/>
                <w:iCs/>
                <w:szCs w:val="24"/>
              </w:rPr>
              <w:t> Таблица № 21:</w:t>
            </w:r>
            <w:r>
              <w:rPr>
                <w:i/>
                <w:iCs/>
                <w:szCs w:val="24"/>
              </w:rPr>
              <w:t>  Изплатена финан</w:t>
            </w:r>
            <w:r>
              <w:rPr>
                <w:i/>
                <w:iCs/>
                <w:szCs w:val="24"/>
              </w:rPr>
              <w:t>сова помощ по подмярка 7.6 по години към 31.12.2018 г.</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Подмярка 8.3  „Предотвратяване на щети по горите от горски пожари, природни бедствия и катастрофични събития“</w:t>
            </w:r>
          </w:p>
          <w:p w:rsidR="002B3815" w:rsidRDefault="0099452B">
            <w:pPr>
              <w:spacing w:before="240" w:after="240"/>
              <w:jc w:val="left"/>
              <w:rPr>
                <w:szCs w:val="24"/>
              </w:rPr>
            </w:pPr>
            <w:r>
              <w:rPr>
                <w:szCs w:val="24"/>
              </w:rPr>
              <w:t>През 2018 г. е обявена първа процедура за прием на проекти през ИСУН по подмярката с крае</w:t>
            </w:r>
            <w:r>
              <w:rPr>
                <w:szCs w:val="24"/>
              </w:rPr>
              <w:t>н срок 22.08.2018 г.</w:t>
            </w:r>
          </w:p>
          <w:p w:rsidR="002B3815" w:rsidRDefault="0099452B">
            <w:pPr>
              <w:spacing w:before="240" w:after="240"/>
              <w:jc w:val="left"/>
              <w:rPr>
                <w:szCs w:val="24"/>
              </w:rPr>
            </w:pPr>
            <w:r>
              <w:rPr>
                <w:szCs w:val="24"/>
              </w:rPr>
              <w:t>Подпомагането по процедурата е насочено към постигане на целите на подмярка 8.3 „Предотвратяване на щети по горите от горски пожари, природни бедствия и катастрофични събития“ от мярка 8 „Инвестиции в развитие на горските райони и подо</w:t>
            </w:r>
            <w:r>
              <w:rPr>
                <w:szCs w:val="24"/>
              </w:rPr>
              <w:t>бряване жизнеспособността на горите“ от Програма за развитие на селските райони 2014-2020 чрез:</w:t>
            </w:r>
          </w:p>
          <w:p w:rsidR="002B3815" w:rsidRDefault="0099452B">
            <w:pPr>
              <w:spacing w:before="240" w:after="240"/>
              <w:jc w:val="left"/>
              <w:rPr>
                <w:szCs w:val="24"/>
              </w:rPr>
            </w:pPr>
            <w:r>
              <w:rPr>
                <w:szCs w:val="24"/>
              </w:rPr>
              <w:t>1. въвеждане и подобряване на превантивни дейности за намаляване на опасността от горски пожари;</w:t>
            </w:r>
          </w:p>
          <w:p w:rsidR="002B3815" w:rsidRDefault="0099452B">
            <w:pPr>
              <w:spacing w:before="240" w:after="240"/>
              <w:jc w:val="left"/>
              <w:rPr>
                <w:szCs w:val="24"/>
              </w:rPr>
            </w:pPr>
            <w:r>
              <w:rPr>
                <w:szCs w:val="24"/>
              </w:rPr>
              <w:t>2. въвеждане и подобряване на превантивни дейности за намаляван</w:t>
            </w:r>
            <w:r>
              <w:rPr>
                <w:szCs w:val="24"/>
              </w:rPr>
              <w:t>е на опасността от вредители, болести, природни бедствия и катастрофични събития в горските територии.</w:t>
            </w:r>
          </w:p>
          <w:p w:rsidR="002B3815" w:rsidRDefault="0099452B">
            <w:pPr>
              <w:spacing w:before="240" w:after="240"/>
              <w:jc w:val="left"/>
              <w:rPr>
                <w:szCs w:val="24"/>
              </w:rPr>
            </w:pPr>
            <w:r>
              <w:rPr>
                <w:szCs w:val="24"/>
              </w:rPr>
              <w:t>Към 31.12.2018 г. няма сключени договори по подмярката.</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Подмярка 8.4 „Възстановяване на щети по горите от горски пожари, природни бедствия и катастрофи</w:t>
            </w:r>
            <w:r>
              <w:rPr>
                <w:b/>
                <w:bCs/>
                <w:szCs w:val="24"/>
              </w:rPr>
              <w:t>чни събития“</w:t>
            </w:r>
          </w:p>
          <w:p w:rsidR="002B3815" w:rsidRDefault="0099452B">
            <w:pPr>
              <w:spacing w:before="240" w:after="240"/>
              <w:jc w:val="left"/>
              <w:rPr>
                <w:szCs w:val="24"/>
              </w:rPr>
            </w:pPr>
            <w:r>
              <w:rPr>
                <w:szCs w:val="24"/>
              </w:rPr>
              <w:t>През 2018 г. е обявена първа процедура за прием на проекти през ИСУН по подмярката с краен срок 20.08.2018 г.</w:t>
            </w:r>
          </w:p>
          <w:p w:rsidR="002B3815" w:rsidRDefault="0099452B">
            <w:pPr>
              <w:spacing w:before="240" w:after="240"/>
              <w:jc w:val="left"/>
              <w:rPr>
                <w:szCs w:val="24"/>
              </w:rPr>
            </w:pPr>
            <w:r>
              <w:rPr>
                <w:szCs w:val="24"/>
              </w:rPr>
              <w:t>Подпомагането по процедурата е насочено към постигане на целите на Подмярка 8.4 „Възстановяване на щети по горите от горски пожари, п</w:t>
            </w:r>
            <w:r>
              <w:rPr>
                <w:szCs w:val="24"/>
              </w:rPr>
              <w:t>риродни бедствия и катастрофични събития“  от мярка 8 „Инвестиции в развитие на горските райони и подобряване жизнеспособността на горите“ от Програма за развитие на селските райони 2014-2020 чрез:</w:t>
            </w:r>
          </w:p>
          <w:p w:rsidR="002B3815" w:rsidRDefault="0099452B" w:rsidP="0099452B">
            <w:pPr>
              <w:numPr>
                <w:ilvl w:val="0"/>
                <w:numId w:val="28"/>
              </w:numPr>
              <w:spacing w:before="240" w:after="0"/>
              <w:ind w:hanging="280"/>
              <w:jc w:val="left"/>
              <w:rPr>
                <w:szCs w:val="24"/>
              </w:rPr>
            </w:pPr>
            <w:r>
              <w:rPr>
                <w:szCs w:val="24"/>
              </w:rPr>
              <w:t>възстановяване на горите, пострадали от горски пожари, при</w:t>
            </w:r>
            <w:r>
              <w:rPr>
                <w:szCs w:val="24"/>
              </w:rPr>
              <w:t>родни бедствия, катастрофични събития, болести и вредители;</w:t>
            </w:r>
          </w:p>
          <w:p w:rsidR="002B3815" w:rsidRDefault="0099452B" w:rsidP="0099452B">
            <w:pPr>
              <w:numPr>
                <w:ilvl w:val="0"/>
                <w:numId w:val="28"/>
              </w:numPr>
              <w:spacing w:before="0" w:after="0"/>
              <w:ind w:hanging="280"/>
              <w:jc w:val="left"/>
              <w:rPr>
                <w:szCs w:val="24"/>
              </w:rPr>
            </w:pPr>
            <w:r>
              <w:rPr>
                <w:szCs w:val="24"/>
              </w:rPr>
              <w:t>защита на околната среда;</w:t>
            </w:r>
          </w:p>
          <w:p w:rsidR="002B3815" w:rsidRDefault="0099452B" w:rsidP="0099452B">
            <w:pPr>
              <w:numPr>
                <w:ilvl w:val="0"/>
                <w:numId w:val="28"/>
              </w:numPr>
              <w:spacing w:before="0" w:after="240"/>
              <w:ind w:hanging="280"/>
              <w:jc w:val="left"/>
              <w:rPr>
                <w:szCs w:val="24"/>
              </w:rPr>
            </w:pPr>
            <w:r>
              <w:rPr>
                <w:szCs w:val="24"/>
              </w:rPr>
              <w:t>адаптиране към промените в климата.</w:t>
            </w:r>
          </w:p>
          <w:p w:rsidR="002B3815" w:rsidRDefault="0099452B">
            <w:pPr>
              <w:spacing w:before="240" w:after="240"/>
              <w:jc w:val="left"/>
              <w:rPr>
                <w:szCs w:val="24"/>
              </w:rPr>
            </w:pPr>
            <w:r>
              <w:rPr>
                <w:szCs w:val="24"/>
              </w:rPr>
              <w:t>Към 31.12.2018 г. няма сключени договори по подмярката.</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 xml:space="preserve">Подмярка 8.6 „Инвестиции в технологии за лесовъдство и в преработката, </w:t>
            </w:r>
            <w:r>
              <w:rPr>
                <w:b/>
                <w:bCs/>
                <w:szCs w:val="24"/>
              </w:rPr>
              <w:t>мобилизирането и търговията с горски продукти“</w:t>
            </w:r>
          </w:p>
          <w:p w:rsidR="002B3815" w:rsidRDefault="0099452B">
            <w:pPr>
              <w:spacing w:before="240" w:after="240"/>
              <w:jc w:val="left"/>
              <w:rPr>
                <w:szCs w:val="24"/>
              </w:rPr>
            </w:pPr>
            <w:r>
              <w:rPr>
                <w:szCs w:val="24"/>
              </w:rPr>
              <w:t>През 2018 г. е обявена първа процедура за прием на проекти през ИСУН по подмярката с краен срок 31.07.2018 г.</w:t>
            </w:r>
          </w:p>
          <w:p w:rsidR="002B3815" w:rsidRDefault="0099452B">
            <w:pPr>
              <w:spacing w:before="240" w:after="240"/>
              <w:jc w:val="left"/>
              <w:rPr>
                <w:szCs w:val="24"/>
              </w:rPr>
            </w:pPr>
            <w:r>
              <w:rPr>
                <w:szCs w:val="24"/>
              </w:rPr>
              <w:t>Подпомагането по процедурата е насочено към постигане на целите на подмярка 8.6 „Инвестиции в техно</w:t>
            </w:r>
            <w:r>
              <w:rPr>
                <w:szCs w:val="24"/>
              </w:rPr>
              <w:t>логии за лесовъдство и в преработката, мобилизирането и търговията с горски продукти“ от мярка 8 „Инвестиции в развитие на горските райони и подобряване жизнеспособността на горите“ от Програмата за развитие на селските райони 2014-2020 (ПРСР) чрез:</w:t>
            </w:r>
          </w:p>
          <w:p w:rsidR="002B3815" w:rsidRDefault="0099452B">
            <w:pPr>
              <w:spacing w:before="240" w:after="240"/>
              <w:jc w:val="left"/>
              <w:rPr>
                <w:szCs w:val="24"/>
              </w:rPr>
            </w:pPr>
            <w:r>
              <w:rPr>
                <w:szCs w:val="24"/>
              </w:rPr>
              <w:t>1. под</w:t>
            </w:r>
            <w:r>
              <w:rPr>
                <w:szCs w:val="24"/>
              </w:rPr>
              <w:t>обряване на конкурентоспособността и създаването на нови работни места, чрез:</w:t>
            </w:r>
          </w:p>
          <w:p w:rsidR="002B3815" w:rsidRDefault="0099452B">
            <w:pPr>
              <w:spacing w:before="240" w:after="240"/>
              <w:jc w:val="left"/>
              <w:rPr>
                <w:szCs w:val="24"/>
              </w:rPr>
            </w:pPr>
            <w:r>
              <w:rPr>
                <w:szCs w:val="24"/>
              </w:rPr>
              <w:t>а) насърчаване преработката и подобряване маркетинга на горските продукти;</w:t>
            </w:r>
          </w:p>
          <w:p w:rsidR="002B3815" w:rsidRDefault="0099452B">
            <w:pPr>
              <w:spacing w:before="240" w:after="240"/>
              <w:jc w:val="left"/>
              <w:rPr>
                <w:szCs w:val="24"/>
              </w:rPr>
            </w:pPr>
            <w:r>
              <w:rPr>
                <w:szCs w:val="24"/>
              </w:rPr>
              <w:t xml:space="preserve">б) подпомагане закупуването или вземането на лизинг на нови машини и оборудване за първична преработка </w:t>
            </w:r>
            <w:r>
              <w:rPr>
                <w:szCs w:val="24"/>
              </w:rPr>
              <w:t>на дървесина;</w:t>
            </w:r>
          </w:p>
          <w:p w:rsidR="002B3815" w:rsidRDefault="0099452B">
            <w:pPr>
              <w:spacing w:before="240" w:after="240"/>
              <w:jc w:val="left"/>
              <w:rPr>
                <w:szCs w:val="24"/>
              </w:rPr>
            </w:pPr>
            <w:r>
              <w:rPr>
                <w:szCs w:val="24"/>
              </w:rPr>
              <w:t>2. подобряване състоянието на горите, тяхното опазване и устойчиво стопанисване, чрез:</w:t>
            </w:r>
          </w:p>
          <w:p w:rsidR="002B3815" w:rsidRDefault="0099452B">
            <w:pPr>
              <w:spacing w:before="240" w:after="240"/>
              <w:jc w:val="left"/>
              <w:rPr>
                <w:szCs w:val="24"/>
              </w:rPr>
            </w:pPr>
            <w:r>
              <w:rPr>
                <w:szCs w:val="24"/>
              </w:rPr>
              <w:t>а) подпомагане провеждането на отгледните сечи във високостъблените и семенно възобновени издънкови гори до 40 годишна възраст;</w:t>
            </w:r>
          </w:p>
          <w:p w:rsidR="002B3815" w:rsidRDefault="0099452B">
            <w:pPr>
              <w:spacing w:before="240" w:after="240"/>
              <w:jc w:val="left"/>
              <w:rPr>
                <w:szCs w:val="24"/>
              </w:rPr>
            </w:pPr>
            <w:r>
              <w:rPr>
                <w:szCs w:val="24"/>
              </w:rPr>
              <w:t>б) подпомагане закупуването</w:t>
            </w:r>
            <w:r>
              <w:rPr>
                <w:szCs w:val="24"/>
              </w:rPr>
              <w:t xml:space="preserve"> или вземането на лизинг на щадящи почвата и ресурсите машини и оборудване за сеч, извоз, товарене и транспорт на дървесина за едно или повече стопанства;</w:t>
            </w:r>
          </w:p>
          <w:p w:rsidR="002B3815" w:rsidRDefault="0099452B">
            <w:pPr>
              <w:spacing w:before="240" w:after="240"/>
              <w:jc w:val="left"/>
              <w:rPr>
                <w:szCs w:val="24"/>
              </w:rPr>
            </w:pPr>
            <w:r>
              <w:rPr>
                <w:szCs w:val="24"/>
              </w:rPr>
              <w:t>в) подпомагане на устойчивото управление на горите чрез въвеждане на добри производствени практики, в</w:t>
            </w:r>
            <w:r>
              <w:rPr>
                <w:szCs w:val="24"/>
              </w:rPr>
              <w:t xml:space="preserve"> т.ч. системи за управление на качеството и подготовка за сертификация.</w:t>
            </w:r>
          </w:p>
          <w:p w:rsidR="002B3815" w:rsidRDefault="0099452B">
            <w:pPr>
              <w:spacing w:before="240" w:after="240"/>
              <w:jc w:val="left"/>
              <w:rPr>
                <w:szCs w:val="24"/>
              </w:rPr>
            </w:pPr>
            <w:r>
              <w:rPr>
                <w:szCs w:val="24"/>
              </w:rPr>
              <w:t>Към 31.12.2018 г. няма сключени договори по подмярката.</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Мярка 9: Учредяване на групи и организации на производителите</w:t>
            </w:r>
          </w:p>
          <w:p w:rsidR="002B3815" w:rsidRDefault="0099452B">
            <w:pPr>
              <w:spacing w:before="240" w:after="240"/>
              <w:jc w:val="left"/>
              <w:rPr>
                <w:szCs w:val="24"/>
              </w:rPr>
            </w:pPr>
            <w:r>
              <w:rPr>
                <w:szCs w:val="24"/>
              </w:rPr>
              <w:t>Мярката е насочена към учредяване на групи и организации на прои</w:t>
            </w:r>
            <w:r>
              <w:rPr>
                <w:szCs w:val="24"/>
              </w:rPr>
              <w:t>зводители в земеделския сектор.</w:t>
            </w:r>
          </w:p>
          <w:p w:rsidR="002B3815" w:rsidRDefault="0099452B">
            <w:pPr>
              <w:spacing w:before="240" w:after="240"/>
              <w:jc w:val="left"/>
              <w:rPr>
                <w:szCs w:val="24"/>
              </w:rPr>
            </w:pPr>
            <w:r>
              <w:rPr>
                <w:szCs w:val="24"/>
              </w:rPr>
              <w:t>На осмото заседание на Комитета за наблюдение на ПРСР, проведено на 25.10.2017 г. бяха одобрени критерии за подбор на проекти.</w:t>
            </w:r>
          </w:p>
          <w:p w:rsidR="002B3815" w:rsidRDefault="0099452B">
            <w:pPr>
              <w:spacing w:before="240" w:after="240"/>
              <w:jc w:val="left"/>
              <w:rPr>
                <w:szCs w:val="24"/>
              </w:rPr>
            </w:pPr>
            <w:r>
              <w:rPr>
                <w:szCs w:val="24"/>
              </w:rPr>
              <w:t>Процедурата стартира през 2018 г. със следните цели:</w:t>
            </w:r>
          </w:p>
          <w:p w:rsidR="002B3815" w:rsidRDefault="0099452B" w:rsidP="0099452B">
            <w:pPr>
              <w:numPr>
                <w:ilvl w:val="0"/>
                <w:numId w:val="29"/>
              </w:numPr>
              <w:spacing w:before="240" w:after="0"/>
              <w:ind w:hanging="210"/>
              <w:jc w:val="left"/>
              <w:rPr>
                <w:szCs w:val="24"/>
              </w:rPr>
            </w:pPr>
            <w:r>
              <w:rPr>
                <w:szCs w:val="24"/>
              </w:rPr>
              <w:t xml:space="preserve">насърчаване и подпомагане учредяването на </w:t>
            </w:r>
            <w:r>
              <w:rPr>
                <w:szCs w:val="24"/>
              </w:rPr>
              <w:t>групи и организации на производители в земеделския сектор;</w:t>
            </w:r>
          </w:p>
          <w:p w:rsidR="002B3815" w:rsidRDefault="0099452B" w:rsidP="0099452B">
            <w:pPr>
              <w:numPr>
                <w:ilvl w:val="0"/>
                <w:numId w:val="29"/>
              </w:numPr>
              <w:spacing w:before="0" w:after="0"/>
              <w:ind w:hanging="210"/>
              <w:jc w:val="left"/>
              <w:rPr>
                <w:szCs w:val="24"/>
              </w:rPr>
            </w:pPr>
            <w:r>
              <w:rPr>
                <w:szCs w:val="24"/>
              </w:rPr>
              <w:t>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rsidR="002B3815" w:rsidRDefault="0099452B" w:rsidP="0099452B">
            <w:pPr>
              <w:numPr>
                <w:ilvl w:val="0"/>
                <w:numId w:val="29"/>
              </w:numPr>
              <w:spacing w:before="0" w:after="240"/>
              <w:ind w:hanging="210"/>
              <w:jc w:val="left"/>
              <w:rPr>
                <w:szCs w:val="24"/>
              </w:rPr>
            </w:pPr>
            <w:r>
              <w:rPr>
                <w:szCs w:val="24"/>
              </w:rPr>
              <w:t>подпомагане на достъпа до пазара на малки и средни с</w:t>
            </w:r>
            <w:r>
              <w:rPr>
                <w:szCs w:val="24"/>
              </w:rPr>
              <w:t>топанства.</w:t>
            </w:r>
          </w:p>
          <w:p w:rsidR="002B3815" w:rsidRDefault="0099452B">
            <w:pPr>
              <w:spacing w:before="240" w:after="240"/>
              <w:jc w:val="left"/>
              <w:rPr>
                <w:szCs w:val="24"/>
              </w:rPr>
            </w:pPr>
            <w:r>
              <w:rPr>
                <w:szCs w:val="24"/>
              </w:rPr>
              <w:t>Проектите допринасят за опазване на околната среда, повишаване на ресурсната ефективност и смекчаване на последиците от изменение на климата и приспособяване към тях. Благодарение на възможностите, които дава мярката групите и организациите на п</w:t>
            </w:r>
            <w:r>
              <w:rPr>
                <w:szCs w:val="24"/>
              </w:rPr>
              <w:t>роизводители могат чрез организираните посещения, обмяна на опит и обученията да допринесат за по-доброто използване на природните ресурси и могат да натрупат и знания в областта на околната среда, иновациите и климата.</w:t>
            </w:r>
          </w:p>
          <w:p w:rsidR="002B3815" w:rsidRDefault="0099452B">
            <w:pPr>
              <w:spacing w:before="240" w:after="240"/>
              <w:jc w:val="left"/>
              <w:rPr>
                <w:szCs w:val="24"/>
              </w:rPr>
            </w:pPr>
            <w:r>
              <w:rPr>
                <w:szCs w:val="24"/>
              </w:rPr>
              <w:t>Общият бюджет на приема беше 7 563 6</w:t>
            </w:r>
            <w:r>
              <w:rPr>
                <w:szCs w:val="24"/>
              </w:rPr>
              <w:t>79,22 евро. Безвъзмездната финансова помощ (БФП) се изплаща под формата на фиксирана помощ на годишни вноски, въз основа на предоставен бизнес план за не повече от пет години от датата, на която групата или организацията на производители е призната. Максим</w:t>
            </w:r>
            <w:r>
              <w:rPr>
                <w:szCs w:val="24"/>
              </w:rPr>
              <w:t>алният размер на финансовата помощ за година не може да надвишава левовата равностойност на 100 000 евро. Подпомагането ще бъде намаляващо.</w:t>
            </w:r>
          </w:p>
          <w:p w:rsidR="002B3815" w:rsidRDefault="0099452B">
            <w:pPr>
              <w:spacing w:before="240" w:after="240"/>
              <w:jc w:val="left"/>
              <w:rPr>
                <w:szCs w:val="24"/>
              </w:rPr>
            </w:pPr>
            <w:r>
              <w:rPr>
                <w:szCs w:val="24"/>
              </w:rPr>
              <w:t>Закъснялото стартиране на мярката се компенсира частично от факта, че допустимите кандидати по тази мярка са посочен</w:t>
            </w:r>
            <w:r>
              <w:rPr>
                <w:szCs w:val="24"/>
              </w:rPr>
              <w:t>и като приоритет и по подмерки 4.1. и 4.2. и по този начин за тях е бил осигурен източник на финансиране по програмата.</w:t>
            </w:r>
          </w:p>
          <w:p w:rsidR="002B3815" w:rsidRDefault="0099452B">
            <w:pPr>
              <w:spacing w:before="240" w:after="240"/>
              <w:jc w:val="left"/>
              <w:rPr>
                <w:szCs w:val="24"/>
              </w:rPr>
            </w:pPr>
            <w:r>
              <w:rPr>
                <w:szCs w:val="24"/>
              </w:rPr>
              <w:t>Важно е да се отбележи, че при изпълнението на Мярка 9 и по - специално в гласуваните критерии за оценка върху ще се акцентира върху хор</w:t>
            </w:r>
            <w:r>
              <w:rPr>
                <w:szCs w:val="24"/>
              </w:rPr>
              <w:t>изонталните политики на ЕС като равнопоставеност и недопускане на недискриминацията - насърчаване на равните възможности за всички, в случая за младежи, мъже и жени и т.н.</w:t>
            </w:r>
          </w:p>
          <w:p w:rsidR="002B3815" w:rsidRDefault="0099452B">
            <w:pPr>
              <w:spacing w:before="240" w:after="240"/>
              <w:jc w:val="left"/>
              <w:rPr>
                <w:szCs w:val="24"/>
              </w:rPr>
            </w:pPr>
            <w:r>
              <w:rPr>
                <w:szCs w:val="24"/>
              </w:rPr>
              <w:t>През 2018 г. по мярката са подписани 7 договора, а стойността на одобрената субсидия</w:t>
            </w:r>
            <w:r>
              <w:rPr>
                <w:szCs w:val="24"/>
              </w:rPr>
              <w:t xml:space="preserve"> 2 771 828,48 евро</w:t>
            </w:r>
          </w:p>
          <w:p w:rsidR="002B3815" w:rsidRDefault="0099452B">
            <w:pPr>
              <w:spacing w:before="240" w:after="240"/>
              <w:jc w:val="left"/>
              <w:rPr>
                <w:szCs w:val="24"/>
              </w:rPr>
            </w:pPr>
            <w:r>
              <w:rPr>
                <w:szCs w:val="24"/>
              </w:rPr>
              <w:t>Към 31.12.2018 г. е изплатената субсидия в размер на 99 998,47 евро по един договор.</w:t>
            </w:r>
          </w:p>
          <w:p w:rsidR="002B3815" w:rsidRDefault="0099452B">
            <w:pPr>
              <w:spacing w:before="240" w:after="240"/>
              <w:jc w:val="left"/>
              <w:rPr>
                <w:szCs w:val="24"/>
              </w:rPr>
            </w:pPr>
            <w:r>
              <w:rPr>
                <w:b/>
                <w:bCs/>
                <w:i/>
                <w:iCs/>
                <w:szCs w:val="24"/>
              </w:rPr>
              <w:t>Таблица № 22</w:t>
            </w:r>
            <w:r>
              <w:rPr>
                <w:i/>
                <w:iCs/>
                <w:szCs w:val="24"/>
              </w:rPr>
              <w:t xml:space="preserve">:  Одобрена субсидия за проектни предложения по мярка 9 към 31.12.2018 г. </w:t>
            </w:r>
          </w:p>
          <w:p w:rsidR="002B3815" w:rsidRDefault="0099452B">
            <w:pPr>
              <w:spacing w:before="240" w:after="240"/>
              <w:jc w:val="left"/>
              <w:rPr>
                <w:szCs w:val="24"/>
              </w:rPr>
            </w:pPr>
            <w:r>
              <w:rPr>
                <w:b/>
                <w:bCs/>
                <w:i/>
                <w:iCs/>
                <w:szCs w:val="24"/>
              </w:rPr>
              <w:t>Таблица № 23:</w:t>
            </w:r>
            <w:r>
              <w:rPr>
                <w:i/>
                <w:iCs/>
                <w:szCs w:val="24"/>
              </w:rPr>
              <w:t>  Изплатена финансова помощ по подмярка  9 по години</w:t>
            </w:r>
            <w:r>
              <w:rPr>
                <w:i/>
                <w:iCs/>
                <w:szCs w:val="24"/>
              </w:rPr>
              <w:t xml:space="preserve"> към 31.12.2018 г.</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Мярка 19 – Водено от общностите местно развитие</w:t>
            </w:r>
          </w:p>
          <w:p w:rsidR="002B3815" w:rsidRDefault="0099452B">
            <w:pPr>
              <w:spacing w:before="240" w:after="240"/>
              <w:jc w:val="left"/>
              <w:rPr>
                <w:szCs w:val="24"/>
              </w:rPr>
            </w:pPr>
            <w:r>
              <w:rPr>
                <w:szCs w:val="24"/>
              </w:rPr>
              <w:t>Подмярка 19.1 “Помощ за подготвителни дейности”</w:t>
            </w:r>
          </w:p>
          <w:p w:rsidR="002B3815" w:rsidRDefault="0099452B">
            <w:pPr>
              <w:spacing w:before="240" w:after="240"/>
              <w:jc w:val="left"/>
              <w:rPr>
                <w:szCs w:val="24"/>
              </w:rPr>
            </w:pPr>
            <w:r>
              <w:rPr>
                <w:szCs w:val="24"/>
              </w:rPr>
              <w:t>Сключени са 101 договора на обща стойност 2 600 000,00 евро, в които за изпълнение на дейности по подмярката участваха 180 общини, обхващащ</w:t>
            </w:r>
            <w:r>
              <w:rPr>
                <w:szCs w:val="24"/>
              </w:rPr>
              <w:t>и население от 2 300 000 жители и територия от 74 433 кв. км, което представлява 78% от територията на селските райони на страната.</w:t>
            </w:r>
          </w:p>
          <w:p w:rsidR="002B3815" w:rsidRDefault="0099452B">
            <w:pPr>
              <w:spacing w:before="240" w:after="240"/>
              <w:jc w:val="left"/>
              <w:rPr>
                <w:szCs w:val="24"/>
              </w:rPr>
            </w:pPr>
            <w:r>
              <w:rPr>
                <w:szCs w:val="24"/>
              </w:rPr>
              <w:t xml:space="preserve">Чрез изпълнените дейности от бенефициентите са организирани и проведени около 1200 публични събития (конференции, семинари, </w:t>
            </w:r>
            <w:r>
              <w:rPr>
                <w:szCs w:val="24"/>
              </w:rPr>
              <w:t>срещи, обучения и др.).</w:t>
            </w:r>
          </w:p>
          <w:p w:rsidR="002B3815" w:rsidRDefault="0099452B">
            <w:pPr>
              <w:spacing w:before="240" w:after="240"/>
              <w:jc w:val="left"/>
              <w:rPr>
                <w:szCs w:val="24"/>
              </w:rPr>
            </w:pPr>
            <w:r>
              <w:rPr>
                <w:szCs w:val="24"/>
              </w:rPr>
              <w:t>Обща стойност на изплатените средства по подмярката към края на 2018 г. с натрупване е: 1 986 946,00 евро.</w:t>
            </w:r>
          </w:p>
          <w:p w:rsidR="002B3815" w:rsidRDefault="0099452B">
            <w:pPr>
              <w:spacing w:before="240" w:after="240"/>
              <w:jc w:val="left"/>
              <w:rPr>
                <w:szCs w:val="24"/>
              </w:rPr>
            </w:pPr>
            <w:r>
              <w:rPr>
                <w:b/>
                <w:bCs/>
                <w:szCs w:val="24"/>
              </w:rPr>
              <w:t xml:space="preserve">Подмярка 19.2 „Прилагане на операции в рамките на стратегии за Водено от общностите местно развитие” </w:t>
            </w:r>
          </w:p>
          <w:p w:rsidR="002B3815" w:rsidRDefault="0099452B">
            <w:pPr>
              <w:spacing w:before="240" w:after="240"/>
              <w:jc w:val="left"/>
              <w:rPr>
                <w:szCs w:val="24"/>
              </w:rPr>
            </w:pPr>
            <w:r>
              <w:rPr>
                <w:szCs w:val="24"/>
              </w:rPr>
              <w:t xml:space="preserve">Подготовка на </w:t>
            </w:r>
            <w:r>
              <w:rPr>
                <w:szCs w:val="24"/>
              </w:rPr>
              <w:t>изпълнението на подмярка 19.2 стратира през 2015 г. с провеждане на два приема на заявления за подпомагане по подмярка 19.1 „Помощ за подготовителни дейности“ в рамките на които постъпват общо 133 заявления. В последствие се пристъпва към одобрение на крит</w:t>
            </w:r>
            <w:r>
              <w:rPr>
                <w:szCs w:val="24"/>
              </w:rPr>
              <w:t>ериите за оценка на проекти по подмярка 19.2 в рамките на заседанието на Комитета по наблюдение на ПРСР, проведено на 21 май 2015 г.</w:t>
            </w:r>
          </w:p>
          <w:p w:rsidR="002B3815" w:rsidRDefault="0099452B">
            <w:pPr>
              <w:spacing w:before="240" w:after="240"/>
              <w:jc w:val="left"/>
              <w:rPr>
                <w:szCs w:val="24"/>
              </w:rPr>
            </w:pPr>
            <w:r>
              <w:rPr>
                <w:szCs w:val="24"/>
              </w:rPr>
              <w:t>Въз основа на одобрените критерии за оценка се финализира работата по изготвяне на Наредба № 22 от 14 декември 2015 г. за п</w:t>
            </w:r>
            <w:r>
              <w:rPr>
                <w:szCs w:val="24"/>
              </w:rPr>
              <w:t>рилагане на подмярка 19.2 „Прилагане на операции в рамките на стратегии за Водено от общностите местно развитие” на мярка 19 „Водено от общностите местно развитие”.</w:t>
            </w:r>
          </w:p>
          <w:p w:rsidR="002B3815" w:rsidRDefault="0099452B">
            <w:pPr>
              <w:spacing w:before="240" w:after="240"/>
              <w:jc w:val="left"/>
              <w:rPr>
                <w:szCs w:val="24"/>
              </w:rPr>
            </w:pPr>
            <w:r>
              <w:rPr>
                <w:szCs w:val="24"/>
              </w:rPr>
              <w:t>В периода на прием на проекти до 31 май 2016 г. в УО на ПРСР са приети общо 53 бр. заявлени</w:t>
            </w:r>
            <w:r>
              <w:rPr>
                <w:szCs w:val="24"/>
              </w:rPr>
              <w:t>я за подбор на МИГ и одобрение на стратегии за ВОМР при условията и реда на Наредба № 22 от 14 декември 2015 г. за прилагане на подмярка 19.2 „Прилагане на операции в рамките на стратегии за Водено от общностите местно развитие” на мярка 19 „Водено от общн</w:t>
            </w:r>
            <w:r>
              <w:rPr>
                <w:szCs w:val="24"/>
              </w:rPr>
              <w:t>остите местно развитие” от Програмата за развитие на селските райони за периода 2014-2020 г. (обн., ДВ, бр.100 от 18 декември 2015 г.).</w:t>
            </w:r>
          </w:p>
          <w:p w:rsidR="002B3815" w:rsidRDefault="0099452B">
            <w:pPr>
              <w:spacing w:before="240" w:after="240"/>
              <w:jc w:val="left"/>
              <w:rPr>
                <w:szCs w:val="24"/>
              </w:rPr>
            </w:pPr>
            <w:r>
              <w:rPr>
                <w:szCs w:val="24"/>
              </w:rPr>
              <w:t>Подадените проектни предложения включват заявен бюджет в размер на 116 054 102 евро за изпълнение на проекти в рамките н</w:t>
            </w:r>
            <w:r>
              <w:rPr>
                <w:szCs w:val="24"/>
              </w:rPr>
              <w:t>а Стратегиите за ВОМР от които:</w:t>
            </w:r>
          </w:p>
          <w:p w:rsidR="002B3815" w:rsidRDefault="0099452B">
            <w:pPr>
              <w:spacing w:before="240" w:after="240"/>
              <w:jc w:val="left"/>
              <w:rPr>
                <w:szCs w:val="24"/>
              </w:rPr>
            </w:pPr>
            <w:r>
              <w:rPr>
                <w:szCs w:val="24"/>
              </w:rPr>
              <w:t> - по ЕЗФРСР (ПРСР) в размер на 74 284 008 евро</w:t>
            </w:r>
          </w:p>
          <w:p w:rsidR="002B3815" w:rsidRDefault="0099452B">
            <w:pPr>
              <w:spacing w:before="240" w:after="240"/>
              <w:jc w:val="left"/>
              <w:rPr>
                <w:szCs w:val="24"/>
              </w:rPr>
            </w:pPr>
            <w:r>
              <w:rPr>
                <w:szCs w:val="24"/>
              </w:rPr>
              <w:t>- по ЕФРР (ОПОС) в размер на 1 702 842 евро</w:t>
            </w:r>
          </w:p>
          <w:p w:rsidR="002B3815" w:rsidRDefault="0099452B">
            <w:pPr>
              <w:spacing w:before="240" w:after="240"/>
              <w:jc w:val="left"/>
              <w:rPr>
                <w:szCs w:val="24"/>
              </w:rPr>
            </w:pPr>
            <w:r>
              <w:rPr>
                <w:szCs w:val="24"/>
              </w:rPr>
              <w:t>- по ЕФРР (ОПИК) в размер на 21 876 193 евро</w:t>
            </w:r>
          </w:p>
          <w:p w:rsidR="002B3815" w:rsidRDefault="0099452B">
            <w:pPr>
              <w:spacing w:before="240" w:after="240"/>
              <w:jc w:val="left"/>
              <w:rPr>
                <w:szCs w:val="24"/>
              </w:rPr>
            </w:pPr>
            <w:r>
              <w:rPr>
                <w:szCs w:val="24"/>
              </w:rPr>
              <w:t>- по ЕСФ (ОПРЧР) в размер на 18 191 059 евро</w:t>
            </w:r>
          </w:p>
          <w:p w:rsidR="002B3815" w:rsidRDefault="0099452B">
            <w:pPr>
              <w:spacing w:before="240" w:after="240"/>
              <w:jc w:val="left"/>
              <w:rPr>
                <w:szCs w:val="24"/>
              </w:rPr>
            </w:pPr>
            <w:r>
              <w:rPr>
                <w:szCs w:val="24"/>
              </w:rPr>
              <w:t xml:space="preserve">От подадените Стратегии 23 са еднофондови </w:t>
            </w:r>
            <w:r>
              <w:rPr>
                <w:szCs w:val="24"/>
              </w:rPr>
              <w:t>и съдържат единствено мерки, финансирани чрез ЕЗФРСР. 28 от подадените стратегии включват мерки, предвидени за изпълнение в рамките на ОПРЧР, 24 от подадените стратегии предвиждат прилагане на мерки от ОПИК и 3 от подадените стратегии включват мерки от ОПО</w:t>
            </w:r>
            <w:r>
              <w:rPr>
                <w:szCs w:val="24"/>
              </w:rPr>
              <w:t>С.</w:t>
            </w:r>
          </w:p>
          <w:p w:rsidR="002B3815" w:rsidRDefault="0099452B">
            <w:pPr>
              <w:spacing w:before="240" w:after="240"/>
              <w:jc w:val="left"/>
              <w:rPr>
                <w:szCs w:val="24"/>
              </w:rPr>
            </w:pPr>
            <w:r>
              <w:rPr>
                <w:szCs w:val="24"/>
              </w:rPr>
              <w:t>След извършения подбор на стратегии за ВОМР от комисия за избор, назначена със заповед на министъра на земеделието и храните на етап административно съответствие и допустимост са отхвърлени 11 заявления. На етап техническа оценка и след посещения на мяс</w:t>
            </w:r>
            <w:r>
              <w:rPr>
                <w:szCs w:val="24"/>
              </w:rPr>
              <w:t>то са отхвърлени други 2 заявления.</w:t>
            </w:r>
          </w:p>
          <w:p w:rsidR="002B3815" w:rsidRDefault="0099452B">
            <w:pPr>
              <w:spacing w:before="240" w:after="240"/>
              <w:jc w:val="left"/>
              <w:rPr>
                <w:szCs w:val="24"/>
              </w:rPr>
            </w:pPr>
            <w:r>
              <w:rPr>
                <w:szCs w:val="24"/>
              </w:rPr>
              <w:t xml:space="preserve">Останалите 40 стратегии за ВОМР, ангажиращи 57 488 222 евро от бюджета на ПРСР, 1 609 057 евро от бюджета на ОПОС (ЕФРР), 15 226 234 евро от бюджета на ОПИК (ЕФРР) и 11 116 957 евро от бюджета на ОПРЧР (ЕСФ) са одобрени </w:t>
            </w:r>
            <w:r>
              <w:rPr>
                <w:szCs w:val="24"/>
              </w:rPr>
              <w:t>за изпълнение към 31 декември 2016 г. Към края на година са сключени общо 37 договора за прилагане на стратегии за СВОМР в рамките на които са договорени 52 988 534 евро от ПРСР.</w:t>
            </w:r>
          </w:p>
          <w:p w:rsidR="002B3815" w:rsidRDefault="0099452B">
            <w:pPr>
              <w:spacing w:before="240" w:after="240"/>
              <w:jc w:val="left"/>
              <w:rPr>
                <w:szCs w:val="24"/>
              </w:rPr>
            </w:pPr>
            <w:r>
              <w:rPr>
                <w:szCs w:val="24"/>
              </w:rPr>
              <w:t xml:space="preserve">Одобрените стратегии обхващат 74 общини от селските райони на Република </w:t>
            </w:r>
            <w:r>
              <w:rPr>
                <w:szCs w:val="24"/>
              </w:rPr>
              <w:t>България, в рамките на които от помощта ще бъдат облагодетелствани 1 047 819 жители.</w:t>
            </w:r>
          </w:p>
          <w:p w:rsidR="002B3815" w:rsidRDefault="0099452B">
            <w:pPr>
              <w:spacing w:before="240" w:after="240"/>
              <w:jc w:val="left"/>
              <w:rPr>
                <w:szCs w:val="24"/>
              </w:rPr>
            </w:pPr>
            <w:r>
              <w:rPr>
                <w:szCs w:val="24"/>
              </w:rPr>
              <w:t>През 2017 г беше извършен втори прием по подмярка 19.2. Той беше реализиран в периода – 30.06.2017 г. – 31.08.2017 г. Бюджета на приема е следния:</w:t>
            </w:r>
          </w:p>
          <w:p w:rsidR="002B3815" w:rsidRDefault="0099452B" w:rsidP="0099452B">
            <w:pPr>
              <w:numPr>
                <w:ilvl w:val="0"/>
                <w:numId w:val="30"/>
              </w:numPr>
              <w:spacing w:before="240" w:after="0"/>
              <w:ind w:hanging="210"/>
              <w:jc w:val="left"/>
              <w:rPr>
                <w:szCs w:val="24"/>
              </w:rPr>
            </w:pPr>
            <w:r>
              <w:rPr>
                <w:szCs w:val="24"/>
              </w:rPr>
              <w:t>ПРСР – 35 675 676,40 евр</w:t>
            </w:r>
            <w:r>
              <w:rPr>
                <w:szCs w:val="24"/>
              </w:rPr>
              <w:t>о;</w:t>
            </w:r>
          </w:p>
          <w:p w:rsidR="002B3815" w:rsidRDefault="0099452B" w:rsidP="0099452B">
            <w:pPr>
              <w:numPr>
                <w:ilvl w:val="0"/>
                <w:numId w:val="30"/>
              </w:numPr>
              <w:spacing w:before="0" w:after="0"/>
              <w:ind w:hanging="210"/>
              <w:jc w:val="left"/>
              <w:rPr>
                <w:szCs w:val="24"/>
              </w:rPr>
            </w:pPr>
            <w:r>
              <w:rPr>
                <w:szCs w:val="24"/>
              </w:rPr>
              <w:t>ОПОС – 17 849 876,78 евро;</w:t>
            </w:r>
          </w:p>
          <w:p w:rsidR="002B3815" w:rsidRDefault="0099452B" w:rsidP="0099452B">
            <w:pPr>
              <w:numPr>
                <w:ilvl w:val="0"/>
                <w:numId w:val="30"/>
              </w:numPr>
              <w:spacing w:before="0" w:after="0"/>
              <w:ind w:hanging="210"/>
              <w:jc w:val="left"/>
              <w:rPr>
                <w:szCs w:val="24"/>
              </w:rPr>
            </w:pPr>
            <w:r>
              <w:rPr>
                <w:szCs w:val="24"/>
              </w:rPr>
              <w:t>ОПРЧР – 38 632 334,90 евро;</w:t>
            </w:r>
          </w:p>
          <w:p w:rsidR="002B3815" w:rsidRDefault="0099452B" w:rsidP="0099452B">
            <w:pPr>
              <w:numPr>
                <w:ilvl w:val="0"/>
                <w:numId w:val="30"/>
              </w:numPr>
              <w:spacing w:before="0" w:after="0"/>
              <w:ind w:hanging="210"/>
              <w:jc w:val="left"/>
              <w:rPr>
                <w:szCs w:val="24"/>
              </w:rPr>
            </w:pPr>
            <w:r>
              <w:rPr>
                <w:szCs w:val="24"/>
              </w:rPr>
              <w:t xml:space="preserve">ОПИК – 47 518 563,50 евро (16 194 233 евро лева по приоритетна ос „Технологично развитие и иновации“ и 31 324 330,50 евро по приоритетна ос „Предприемачество и капацитет за растеж за малки и средни </w:t>
            </w:r>
            <w:r>
              <w:rPr>
                <w:szCs w:val="24"/>
              </w:rPr>
              <w:t>предприятия“);</w:t>
            </w:r>
          </w:p>
          <w:p w:rsidR="002B3815" w:rsidRDefault="0099452B" w:rsidP="0099452B">
            <w:pPr>
              <w:numPr>
                <w:ilvl w:val="0"/>
                <w:numId w:val="30"/>
              </w:numPr>
              <w:spacing w:before="0" w:after="0"/>
              <w:ind w:hanging="210"/>
              <w:jc w:val="left"/>
              <w:rPr>
                <w:szCs w:val="24"/>
              </w:rPr>
            </w:pPr>
            <w:r>
              <w:rPr>
                <w:szCs w:val="24"/>
              </w:rPr>
              <w:t>Оперативна програма „Наука и образование за интелигентен растеж“ – 40 903 977,91 евро по операция „Осигуряване на достъп до качествено образование в малките населени места и в труднодостъпните райони“ по инвестиционен приоритет 9.ii „Социалн</w:t>
            </w:r>
            <w:r>
              <w:rPr>
                <w:szCs w:val="24"/>
              </w:rPr>
              <w:t>о-икономическа интеграция на маргинализирани общности, вкл. „роми“ по Приоритетна ос 3 „Образователна среда за активно социално включване“;</w:t>
            </w:r>
          </w:p>
          <w:p w:rsidR="002B3815" w:rsidRDefault="0099452B" w:rsidP="0099452B">
            <w:pPr>
              <w:numPr>
                <w:ilvl w:val="0"/>
                <w:numId w:val="30"/>
              </w:numPr>
              <w:spacing w:before="0" w:after="240"/>
              <w:ind w:hanging="210"/>
              <w:jc w:val="left"/>
              <w:rPr>
                <w:szCs w:val="24"/>
              </w:rPr>
            </w:pPr>
            <w:r>
              <w:rPr>
                <w:szCs w:val="24"/>
              </w:rPr>
              <w:t>Програма за морско дело и рибарство – 300 000 евро.</w:t>
            </w:r>
          </w:p>
          <w:p w:rsidR="002B3815" w:rsidRDefault="0099452B">
            <w:pPr>
              <w:spacing w:before="240" w:after="240"/>
              <w:jc w:val="left"/>
              <w:rPr>
                <w:szCs w:val="24"/>
              </w:rPr>
            </w:pPr>
            <w:r>
              <w:rPr>
                <w:szCs w:val="24"/>
              </w:rPr>
              <w:t xml:space="preserve">Приемът се проведе в ИСУН. По приема в Управляващия орган на </w:t>
            </w:r>
            <w:r>
              <w:rPr>
                <w:szCs w:val="24"/>
              </w:rPr>
              <w:t>Програмата за развитие на селските райони 2014 – 2020 г. постъпиха общо 70 заявления за финансова подкрепа от МИГ на територията на 120 общини. Общ заявен бюджет за проекти по стратегиите – 212 609 253,27 евро, от които 179 745 759,83 евро за изпълнение на</w:t>
            </w:r>
            <w:r>
              <w:rPr>
                <w:szCs w:val="24"/>
              </w:rPr>
              <w:t xml:space="preserve"> проекти към стратегиите за ВОМР както следва:</w:t>
            </w:r>
          </w:p>
          <w:p w:rsidR="002B3815" w:rsidRDefault="0099452B" w:rsidP="0099452B">
            <w:pPr>
              <w:numPr>
                <w:ilvl w:val="0"/>
                <w:numId w:val="31"/>
              </w:numPr>
              <w:spacing w:before="240" w:after="0"/>
              <w:ind w:hanging="210"/>
              <w:jc w:val="left"/>
              <w:rPr>
                <w:szCs w:val="24"/>
              </w:rPr>
            </w:pPr>
            <w:r>
              <w:rPr>
                <w:szCs w:val="24"/>
              </w:rPr>
              <w:t>ПРСР 98 590 48, евро;</w:t>
            </w:r>
          </w:p>
          <w:p w:rsidR="002B3815" w:rsidRDefault="0099452B" w:rsidP="0099452B">
            <w:pPr>
              <w:numPr>
                <w:ilvl w:val="0"/>
                <w:numId w:val="31"/>
              </w:numPr>
              <w:spacing w:before="0" w:after="0"/>
              <w:ind w:hanging="210"/>
              <w:jc w:val="left"/>
              <w:rPr>
                <w:szCs w:val="24"/>
              </w:rPr>
            </w:pPr>
            <w:r>
              <w:rPr>
                <w:szCs w:val="24"/>
              </w:rPr>
              <w:t>ОПОС 9 754 123,60 евро;</w:t>
            </w:r>
          </w:p>
          <w:p w:rsidR="002B3815" w:rsidRDefault="0099452B" w:rsidP="0099452B">
            <w:pPr>
              <w:numPr>
                <w:ilvl w:val="0"/>
                <w:numId w:val="31"/>
              </w:numPr>
              <w:spacing w:before="0" w:after="0"/>
              <w:ind w:hanging="210"/>
              <w:jc w:val="left"/>
              <w:rPr>
                <w:szCs w:val="24"/>
              </w:rPr>
            </w:pPr>
            <w:r>
              <w:rPr>
                <w:szCs w:val="24"/>
              </w:rPr>
              <w:t>ОПИК 30 507 119,39 евро;</w:t>
            </w:r>
          </w:p>
          <w:p w:rsidR="002B3815" w:rsidRDefault="0099452B" w:rsidP="0099452B">
            <w:pPr>
              <w:numPr>
                <w:ilvl w:val="0"/>
                <w:numId w:val="31"/>
              </w:numPr>
              <w:spacing w:before="0" w:after="0"/>
              <w:ind w:hanging="210"/>
              <w:jc w:val="left"/>
              <w:rPr>
                <w:szCs w:val="24"/>
              </w:rPr>
            </w:pPr>
            <w:r>
              <w:rPr>
                <w:szCs w:val="24"/>
              </w:rPr>
              <w:t>ОПРЧР 30 897 274,47 евро;</w:t>
            </w:r>
          </w:p>
          <w:p w:rsidR="002B3815" w:rsidRDefault="0099452B" w:rsidP="0099452B">
            <w:pPr>
              <w:numPr>
                <w:ilvl w:val="0"/>
                <w:numId w:val="31"/>
              </w:numPr>
              <w:spacing w:before="0" w:after="240"/>
              <w:ind w:hanging="210"/>
              <w:jc w:val="left"/>
              <w:rPr>
                <w:szCs w:val="24"/>
              </w:rPr>
            </w:pPr>
            <w:r>
              <w:rPr>
                <w:szCs w:val="24"/>
              </w:rPr>
              <w:t>ОПНОИР 9 996 762,09 евро;</w:t>
            </w:r>
          </w:p>
          <w:p w:rsidR="002B3815" w:rsidRDefault="0099452B">
            <w:pPr>
              <w:spacing w:before="240" w:after="240"/>
              <w:jc w:val="left"/>
              <w:rPr>
                <w:szCs w:val="24"/>
              </w:rPr>
            </w:pPr>
            <w:r>
              <w:rPr>
                <w:szCs w:val="24"/>
              </w:rPr>
              <w:t>В периода септември – декември 2017 г. е извършена оценка на подадените стратегии за В</w:t>
            </w:r>
            <w:r>
              <w:rPr>
                <w:szCs w:val="24"/>
              </w:rPr>
              <w:t>ОМР, като са одобрени 25 МИГ на територията на 43 общини с територия 22 203 кв. км. и население 619 026 жители.</w:t>
            </w:r>
          </w:p>
          <w:p w:rsidR="002B3815" w:rsidRDefault="0099452B">
            <w:pPr>
              <w:spacing w:before="240" w:after="240"/>
              <w:jc w:val="left"/>
              <w:rPr>
                <w:szCs w:val="24"/>
              </w:rPr>
            </w:pPr>
            <w:r>
              <w:rPr>
                <w:szCs w:val="24"/>
              </w:rPr>
              <w:t>Средствата по одобрените стратегии са в размер на общо 83 921 108,99 евро, разделени по източници на финансиране както следва:</w:t>
            </w:r>
          </w:p>
          <w:p w:rsidR="002B3815" w:rsidRDefault="0099452B" w:rsidP="0099452B">
            <w:pPr>
              <w:numPr>
                <w:ilvl w:val="0"/>
                <w:numId w:val="32"/>
              </w:numPr>
              <w:spacing w:before="240" w:after="0"/>
              <w:ind w:hanging="210"/>
              <w:jc w:val="left"/>
              <w:rPr>
                <w:szCs w:val="24"/>
              </w:rPr>
            </w:pPr>
            <w:r>
              <w:rPr>
                <w:szCs w:val="24"/>
              </w:rPr>
              <w:t>ПРСР 47 325 327,0</w:t>
            </w:r>
            <w:r>
              <w:rPr>
                <w:szCs w:val="24"/>
              </w:rPr>
              <w:t>6 евро (35 493 995,29 евро за проекти към стратегиите за ВОМР по подмярка 19.2 и 11 831 331,76 евро за управление на МИГ и популяризиране на стратегиите за ВОМР по подмярка 19.4 „Текущи разходи и популяризиране на стратегии за ВОМР);</w:t>
            </w:r>
          </w:p>
          <w:p w:rsidR="002B3815" w:rsidRDefault="0099452B" w:rsidP="0099452B">
            <w:pPr>
              <w:numPr>
                <w:ilvl w:val="0"/>
                <w:numId w:val="32"/>
              </w:numPr>
              <w:spacing w:before="0" w:after="0"/>
              <w:ind w:hanging="210"/>
              <w:jc w:val="left"/>
              <w:rPr>
                <w:szCs w:val="24"/>
              </w:rPr>
            </w:pPr>
            <w:r>
              <w:rPr>
                <w:szCs w:val="24"/>
              </w:rPr>
              <w:t xml:space="preserve">ОПОС 5 279 892,98 </w:t>
            </w:r>
            <w:r>
              <w:rPr>
                <w:szCs w:val="24"/>
              </w:rPr>
              <w:t>евро;</w:t>
            </w:r>
          </w:p>
          <w:p w:rsidR="002B3815" w:rsidRDefault="0099452B" w:rsidP="0099452B">
            <w:pPr>
              <w:numPr>
                <w:ilvl w:val="0"/>
                <w:numId w:val="32"/>
              </w:numPr>
              <w:spacing w:before="0" w:after="0"/>
              <w:ind w:hanging="210"/>
              <w:jc w:val="left"/>
              <w:rPr>
                <w:szCs w:val="24"/>
              </w:rPr>
            </w:pPr>
            <w:r>
              <w:rPr>
                <w:szCs w:val="24"/>
              </w:rPr>
              <w:t>ОПИК 14 067 191,94 евро;</w:t>
            </w:r>
          </w:p>
          <w:p w:rsidR="002B3815" w:rsidRDefault="0099452B" w:rsidP="0099452B">
            <w:pPr>
              <w:numPr>
                <w:ilvl w:val="0"/>
                <w:numId w:val="32"/>
              </w:numPr>
              <w:spacing w:before="0" w:after="0"/>
              <w:ind w:hanging="210"/>
              <w:jc w:val="left"/>
              <w:rPr>
                <w:szCs w:val="24"/>
              </w:rPr>
            </w:pPr>
            <w:r>
              <w:rPr>
                <w:szCs w:val="24"/>
              </w:rPr>
              <w:t>ОПРЧР 12 057 135.19 евро;</w:t>
            </w:r>
          </w:p>
          <w:p w:rsidR="002B3815" w:rsidRDefault="0099452B" w:rsidP="0099452B">
            <w:pPr>
              <w:numPr>
                <w:ilvl w:val="0"/>
                <w:numId w:val="32"/>
              </w:numPr>
              <w:spacing w:before="0" w:after="240"/>
              <w:ind w:hanging="210"/>
              <w:jc w:val="left"/>
              <w:rPr>
                <w:szCs w:val="24"/>
              </w:rPr>
            </w:pPr>
            <w:r>
              <w:rPr>
                <w:szCs w:val="24"/>
              </w:rPr>
              <w:t>ОПНОИР 5 191 550,66 евро.</w:t>
            </w:r>
          </w:p>
          <w:p w:rsidR="002B3815" w:rsidRDefault="0099452B">
            <w:pPr>
              <w:spacing w:before="240" w:after="240"/>
              <w:jc w:val="left"/>
              <w:rPr>
                <w:szCs w:val="24"/>
              </w:rPr>
            </w:pPr>
            <w:r>
              <w:rPr>
                <w:szCs w:val="24"/>
              </w:rPr>
              <w:t>Към 31.12.2017 г. между УО на ПРСР 2014-2020 г. са подписани общо 24 споразумения за изпълнение на стратегии за ВОМР по обявената втора процедура за подбор на стратегии и ме</w:t>
            </w:r>
            <w:r>
              <w:rPr>
                <w:szCs w:val="24"/>
              </w:rPr>
              <w:t>стни инициативни групи BG06RDNP001-19.001 – подмярка 19.2 „Прилагане на операции в рамките на стратегии за водено от общностите местно развитие“ от ПРСР 2014-2020 г. на обща стойност от 68 329 144,01 евро, от които финансирането от ЕЗФРСР възлиза на 33 993</w:t>
            </w:r>
            <w:r>
              <w:rPr>
                <w:szCs w:val="24"/>
              </w:rPr>
              <w:t xml:space="preserve"> 905,82 евро.</w:t>
            </w:r>
          </w:p>
          <w:p w:rsidR="002B3815" w:rsidRDefault="0099452B">
            <w:pPr>
              <w:spacing w:before="240" w:after="240"/>
              <w:jc w:val="left"/>
              <w:rPr>
                <w:szCs w:val="24"/>
              </w:rPr>
            </w:pPr>
            <w:r>
              <w:rPr>
                <w:szCs w:val="24"/>
              </w:rPr>
              <w:t>Към 31.12.2018 г. общия брой подписани споразумения за финансиране са 64 с финансиране в размер на 186 407 360.49 евро</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 xml:space="preserve">Подмярка 19.3 „Подготовка и изпълнение на дейности за сътрудничество на МИГ“ </w:t>
            </w:r>
          </w:p>
          <w:p w:rsidR="002B3815" w:rsidRDefault="0099452B">
            <w:pPr>
              <w:spacing w:before="240" w:after="240"/>
              <w:jc w:val="left"/>
              <w:rPr>
                <w:szCs w:val="24"/>
              </w:rPr>
            </w:pPr>
            <w:r>
              <w:rPr>
                <w:szCs w:val="24"/>
              </w:rPr>
              <w:t>Бюджетът по подмярката е левовата равностой</w:t>
            </w:r>
            <w:r>
              <w:rPr>
                <w:szCs w:val="24"/>
              </w:rPr>
              <w:t>ност на 6 500 000 евро.</w:t>
            </w:r>
          </w:p>
          <w:p w:rsidR="002B3815" w:rsidRDefault="0099452B">
            <w:pPr>
              <w:spacing w:before="240" w:after="240"/>
              <w:jc w:val="left"/>
              <w:rPr>
                <w:szCs w:val="24"/>
              </w:rPr>
            </w:pPr>
            <w:r>
              <w:rPr>
                <w:szCs w:val="24"/>
              </w:rPr>
              <w:t>През месец август 2018 г. по подмярката е открит прием за проектни предложения. Приемът е разделен в две процедури – BG06RDNP001-19.085 „Подбор на проектни предложения за подготвителни дейности за подготовка на проекти за сътрудниче</w:t>
            </w:r>
            <w:r>
              <w:rPr>
                <w:szCs w:val="24"/>
              </w:rPr>
              <w:t>ство“ с бюджет 204516,75 евро и BG06RDNP001-19.083 „Подбор на проектни предложения за изпълнение на проекти за сътрудничество“ с бюджет 818 067,01 евро. Съгласно Регламент (ЕС) 1305/2013 кандидатстването по подмярката е текущо.</w:t>
            </w:r>
          </w:p>
          <w:p w:rsidR="002B3815" w:rsidRDefault="0099452B">
            <w:pPr>
              <w:spacing w:before="240" w:after="240"/>
              <w:jc w:val="left"/>
              <w:rPr>
                <w:szCs w:val="24"/>
              </w:rPr>
            </w:pPr>
            <w:r>
              <w:rPr>
                <w:szCs w:val="24"/>
              </w:rPr>
              <w:t>В рамките на първия краен ср</w:t>
            </w:r>
            <w:r>
              <w:rPr>
                <w:szCs w:val="24"/>
              </w:rPr>
              <w:t xml:space="preserve">ок за прием на проектни предложения, който приключи на 31.08.2018 г., в ИСУН 2020 бяха регистрирани общо 10 (десет) проектни предложения – 8 (осем) проектни предложения за подготвителни дейности и 2 (два) броя проектни предложения за сътрудничество, които </w:t>
            </w:r>
            <w:r>
              <w:rPr>
                <w:szCs w:val="24"/>
              </w:rPr>
              <w:t>впоследствие са оттеглени.</w:t>
            </w:r>
          </w:p>
          <w:p w:rsidR="002B3815" w:rsidRDefault="0099452B">
            <w:pPr>
              <w:spacing w:before="240" w:after="240"/>
              <w:jc w:val="left"/>
              <w:rPr>
                <w:szCs w:val="24"/>
              </w:rPr>
            </w:pPr>
            <w:r>
              <w:rPr>
                <w:szCs w:val="24"/>
              </w:rPr>
              <w:t>В резултат на оценката на Комисията бяха одобрени за финансиране осем проектни предложения с общ размер на одобрената безвъзмездна финансова помощ 175 932,46 евро</w:t>
            </w:r>
          </w:p>
          <w:p w:rsidR="002B3815" w:rsidRDefault="0099452B">
            <w:pPr>
              <w:spacing w:before="240" w:after="240"/>
              <w:jc w:val="left"/>
              <w:rPr>
                <w:szCs w:val="24"/>
              </w:rPr>
            </w:pPr>
            <w:r>
              <w:rPr>
                <w:b/>
                <w:bCs/>
                <w:szCs w:val="24"/>
              </w:rPr>
              <w:t>Подмярка 19.4 „Текущи разходи и популяризиране на стратегия за вод</w:t>
            </w:r>
            <w:r>
              <w:rPr>
                <w:b/>
                <w:bCs/>
                <w:szCs w:val="24"/>
              </w:rPr>
              <w:t>ено от общностите местно развитие“</w:t>
            </w:r>
          </w:p>
          <w:p w:rsidR="002B3815" w:rsidRDefault="0099452B">
            <w:pPr>
              <w:spacing w:before="240" w:after="240"/>
              <w:jc w:val="left"/>
              <w:rPr>
                <w:szCs w:val="24"/>
              </w:rPr>
            </w:pPr>
            <w:r>
              <w:rPr>
                <w:szCs w:val="24"/>
              </w:rPr>
              <w:t>Общият финансов ресурс, за одобрените по първия прием на подмярка 19.2 местни инициативни групи  до края на програмния период, е 9,61 млн. евро.</w:t>
            </w:r>
          </w:p>
          <w:p w:rsidR="002B3815" w:rsidRDefault="0099452B">
            <w:pPr>
              <w:spacing w:before="240" w:after="240"/>
              <w:jc w:val="left"/>
              <w:rPr>
                <w:szCs w:val="24"/>
              </w:rPr>
            </w:pPr>
            <w:r>
              <w:rPr>
                <w:szCs w:val="24"/>
              </w:rPr>
              <w:t>Одобрените бюджетите за 2018 г. по подмярка 19.4 „Текущи разходи и популяриз</w:t>
            </w:r>
            <w:r>
              <w:rPr>
                <w:szCs w:val="24"/>
              </w:rPr>
              <w:t>иране на стратегия за Водено от общностите местно развитие“ за всичките 39 местни инициативни групи, одобрени в рамките на първия прием на заявления в размер на 3 702 284,28 евро.</w:t>
            </w:r>
          </w:p>
          <w:p w:rsidR="002B3815" w:rsidRDefault="0099452B">
            <w:pPr>
              <w:spacing w:before="240" w:after="240"/>
              <w:jc w:val="left"/>
              <w:rPr>
                <w:szCs w:val="24"/>
              </w:rPr>
            </w:pPr>
            <w:r>
              <w:rPr>
                <w:szCs w:val="24"/>
              </w:rPr>
              <w:t>По подмярката Разплащателната агенция е изплатила авансовите плащания за 201</w:t>
            </w:r>
            <w:r>
              <w:rPr>
                <w:szCs w:val="24"/>
              </w:rPr>
              <w:t>8 г. и извършва регулярно изплащане на извършените от местните инициативни групи разходи. Към 31.12.2018 г. по подмярката на МИГ от страна на Разплащателна агенция са възстановени средства в размер на 2 746 861,01 евро.</w:t>
            </w:r>
          </w:p>
          <w:p w:rsidR="002B3815" w:rsidRDefault="0099452B">
            <w:pPr>
              <w:spacing w:before="240" w:after="240"/>
              <w:jc w:val="left"/>
              <w:rPr>
                <w:szCs w:val="24"/>
              </w:rPr>
            </w:pPr>
            <w:r>
              <w:rPr>
                <w:b/>
                <w:bCs/>
                <w:szCs w:val="24"/>
              </w:rPr>
              <w:t xml:space="preserve">Мярка 20 „Техническа помощ“ </w:t>
            </w:r>
          </w:p>
          <w:p w:rsidR="002B3815" w:rsidRDefault="0099452B">
            <w:pPr>
              <w:spacing w:before="240" w:after="240"/>
              <w:jc w:val="left"/>
              <w:rPr>
                <w:szCs w:val="24"/>
              </w:rPr>
            </w:pPr>
            <w:r>
              <w:rPr>
                <w:szCs w:val="24"/>
              </w:rPr>
              <w:t>Към кра</w:t>
            </w:r>
            <w:r>
              <w:rPr>
                <w:szCs w:val="24"/>
              </w:rPr>
              <w:t>я на 2018 г. по мярката са одобрени  119 заявления за подпомагане на обща стойност 20 987 666,86 евро. Платените към същия период разходи са в размер на 12 702 246.52 евро.    </w:t>
            </w:r>
          </w:p>
          <w:p w:rsidR="002B3815" w:rsidRDefault="0099452B">
            <w:pPr>
              <w:spacing w:before="240" w:after="240"/>
              <w:jc w:val="left"/>
              <w:rPr>
                <w:szCs w:val="24"/>
              </w:rPr>
            </w:pPr>
            <w:r>
              <w:rPr>
                <w:szCs w:val="24"/>
              </w:rPr>
              <w:t>Както и през програмния период 2007-2013 така и в рамките на ПРСР 2014-2020 мяр</w:t>
            </w:r>
            <w:r>
              <w:rPr>
                <w:szCs w:val="24"/>
              </w:rPr>
              <w:t>ката има ключова роля за прилагане на Програмата. Това е постигнато чрез дейности насочени към осигуряване на информираност и публичност на ПРСР, извършване на анализи, проучвания, изследвания и оценки, както и техническо обезпечение и възнаграждения за УО</w:t>
            </w:r>
            <w:r>
              <w:rPr>
                <w:szCs w:val="24"/>
              </w:rPr>
              <w:t xml:space="preserve"> и РА.</w:t>
            </w:r>
          </w:p>
          <w:p w:rsidR="002B3815" w:rsidRDefault="0099452B">
            <w:pPr>
              <w:spacing w:before="240" w:after="240"/>
              <w:jc w:val="left"/>
              <w:rPr>
                <w:szCs w:val="24"/>
              </w:rPr>
            </w:pPr>
            <w:r>
              <w:rPr>
                <w:b/>
                <w:bCs/>
                <w:i/>
                <w:iCs/>
                <w:szCs w:val="24"/>
              </w:rPr>
              <w:t> Таблица 24:</w:t>
            </w:r>
            <w:r>
              <w:rPr>
                <w:i/>
                <w:iCs/>
                <w:szCs w:val="24"/>
              </w:rPr>
              <w:t>  Изпълнение на мярка 20 "Техническа помощ" към 31.12.2018 г.</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 xml:space="preserve">Прием по мерки и подмерки, свързани с плащане на площ </w:t>
            </w:r>
          </w:p>
          <w:p w:rsidR="002B3815" w:rsidRDefault="0099452B">
            <w:pPr>
              <w:spacing w:before="240" w:after="240"/>
              <w:jc w:val="left"/>
              <w:rPr>
                <w:szCs w:val="24"/>
              </w:rPr>
            </w:pPr>
            <w:r>
              <w:rPr>
                <w:szCs w:val="24"/>
              </w:rPr>
              <w:t xml:space="preserve">В периода 01.03.2016 г. до 31.12.2018 г. в рамките на годишната кампания по директни плащания се прилагат мерки и </w:t>
            </w:r>
            <w:r>
              <w:rPr>
                <w:szCs w:val="24"/>
              </w:rPr>
              <w:t>подмерки от Програмата, свързани с плащане на площ, т.нар. компенсаторни мерки: мярка 10 „Агроекология и климат“, мярка 11 „Биологично земеделие“, мярка 12 „Плащания по „Натура-2000” и Рамковата директива  за водите“, мярка 13 „Плащания за райони, изправен</w:t>
            </w:r>
            <w:r>
              <w:rPr>
                <w:szCs w:val="24"/>
              </w:rPr>
              <w:t>и пред природни или други специфични ограничения“ и Мярка 14 "Хуманно отношение към животните". Прилагането от 01.01.2015 г. на многопластовата структура от схеми и мерки по двата стълба на ОСП 2014-2020 повиши административната тежест и приключването на а</w:t>
            </w:r>
            <w:r>
              <w:rPr>
                <w:szCs w:val="24"/>
              </w:rPr>
              <w:t>дминистративния контрол на подадените заявления както през 2015 г., така и през 2016 г. в обичайните срокове се забави. Поради тази причина към 31.12.2015 г. не бе завършен процесът по одобряване на новозаявените в 2015 г. ангажименти по посочените компенс</w:t>
            </w:r>
            <w:r>
              <w:rPr>
                <w:szCs w:val="24"/>
              </w:rPr>
              <w:t>аторни мерки от ПРСР 2014-2020 г.- процесът е приключил през 2016г. По аналогични причини и към 31.12.2016 г. не е завършен процесът по одобряване на заявените в 2016 г. ангажименти по посочените компенсаторни мерки от ПРСР 2014-2020 г. Към 31.12.2018 г. е</w:t>
            </w:r>
            <w:r>
              <w:rPr>
                <w:szCs w:val="24"/>
              </w:rPr>
              <w:t xml:space="preserve"> завършен прооцесът по одобряване и изплащане на заявените през 2017 г. ангажименти.</w:t>
            </w:r>
          </w:p>
          <w:p w:rsidR="002B3815" w:rsidRDefault="0099452B">
            <w:pPr>
              <w:spacing w:before="240" w:after="240"/>
              <w:jc w:val="left"/>
              <w:rPr>
                <w:szCs w:val="24"/>
              </w:rPr>
            </w:pPr>
            <w:r>
              <w:rPr>
                <w:b/>
                <w:bCs/>
                <w:szCs w:val="24"/>
              </w:rPr>
              <w:t>Мярка 10 „Агроекология и климат“</w:t>
            </w:r>
          </w:p>
          <w:p w:rsidR="002B3815" w:rsidRDefault="0099452B">
            <w:pPr>
              <w:spacing w:before="240" w:after="240"/>
              <w:jc w:val="left"/>
              <w:rPr>
                <w:szCs w:val="24"/>
              </w:rPr>
            </w:pPr>
            <w:r>
              <w:rPr>
                <w:szCs w:val="24"/>
              </w:rPr>
              <w:t>През периода 2015 -  2018 г. мярката се прилага в пълен обхват със следните направления: 1. възстановяване и поддържане на постоянно затре</w:t>
            </w:r>
            <w:r>
              <w:rPr>
                <w:szCs w:val="24"/>
              </w:rPr>
              <w:t>вени площи с висока природна стойност (ВПС); 2. поддържане на местообитанията на зимуващите видове гъски и ливаден блатар в обработваеми земи с орнитологично значение; 3. поддържане на местообитанията на Царски орел и Египетски лешояд в обработваеми земи с</w:t>
            </w:r>
            <w:r>
              <w:rPr>
                <w:szCs w:val="24"/>
              </w:rPr>
              <w:t xml:space="preserve"> орнитологично значение; 4. контрол на почвената ерозия; 5. традиционни практики за сезонна паша (пасторализъм); 6. опазване на застрашени от изчезване местни породи, важни за селското стопанство и 7. опазване на застрашени от изчезване местни сортове, важ</w:t>
            </w:r>
            <w:r>
              <w:rPr>
                <w:szCs w:val="24"/>
              </w:rPr>
              <w:t>ни за селското стопанство. </w:t>
            </w:r>
          </w:p>
          <w:p w:rsidR="002B3815" w:rsidRDefault="0099452B">
            <w:pPr>
              <w:spacing w:before="240" w:after="240"/>
              <w:jc w:val="left"/>
              <w:rPr>
                <w:szCs w:val="24"/>
              </w:rPr>
            </w:pPr>
            <w:r>
              <w:rPr>
                <w:szCs w:val="24"/>
              </w:rPr>
              <w:t>Към 31.12.2018 г. по мярка 10 са изплатени кампании 2015 г., 2016 г. и 2017 г. като общата стойност на изплатените разходи  към тази дата е 74 404 440.23 евро.</w:t>
            </w:r>
          </w:p>
          <w:p w:rsidR="002B3815" w:rsidRDefault="0099452B">
            <w:pPr>
              <w:spacing w:before="240" w:after="240"/>
              <w:jc w:val="left"/>
              <w:rPr>
                <w:szCs w:val="24"/>
              </w:rPr>
            </w:pPr>
            <w:r>
              <w:rPr>
                <w:b/>
                <w:bCs/>
                <w:szCs w:val="24"/>
              </w:rPr>
              <w:t xml:space="preserve">Мярка 11 „Биологично земеделие“             </w:t>
            </w:r>
          </w:p>
          <w:p w:rsidR="002B3815" w:rsidRDefault="0099452B">
            <w:pPr>
              <w:spacing w:before="240" w:after="240"/>
              <w:jc w:val="left"/>
              <w:rPr>
                <w:szCs w:val="24"/>
              </w:rPr>
            </w:pPr>
            <w:r>
              <w:rPr>
                <w:szCs w:val="24"/>
              </w:rPr>
              <w:t>Мярката обхваща прилага</w:t>
            </w:r>
            <w:r>
              <w:rPr>
                <w:szCs w:val="24"/>
              </w:rPr>
              <w:t>нето на две подмерки „Плащания за преминаване към биологично земеделие“ и подмярка „Плащания за поддържане на биологично земеделие”, като подпомагане е предвидено в три направления- биологично растениевъдство, биологично пчеларство и биологично животновъдс</w:t>
            </w:r>
            <w:r>
              <w:rPr>
                <w:szCs w:val="24"/>
              </w:rPr>
              <w:t>тво.</w:t>
            </w:r>
          </w:p>
          <w:p w:rsidR="002B3815" w:rsidRDefault="0099452B">
            <w:pPr>
              <w:spacing w:before="240" w:after="240"/>
              <w:jc w:val="left"/>
              <w:rPr>
                <w:szCs w:val="24"/>
              </w:rPr>
            </w:pPr>
            <w:r>
              <w:rPr>
                <w:szCs w:val="24"/>
              </w:rPr>
              <w:t>През 2015 г., 2016 г., 2017 г. и 2018 г. мярката се прилага в пълен обхват с две подмерки „Плащания за преминаване към биологично земеделие“, подмярка „Плащания за поддържане на биологично земеделие” и с три направления- биологично растениевъдство, би</w:t>
            </w:r>
            <w:r>
              <w:rPr>
                <w:szCs w:val="24"/>
              </w:rPr>
              <w:t>ологично пчеларство и биологично животновъдство.</w:t>
            </w:r>
          </w:p>
          <w:p w:rsidR="002B3815" w:rsidRDefault="0099452B">
            <w:pPr>
              <w:spacing w:before="240" w:after="240"/>
              <w:jc w:val="left"/>
              <w:rPr>
                <w:szCs w:val="24"/>
              </w:rPr>
            </w:pPr>
            <w:r>
              <w:rPr>
                <w:szCs w:val="24"/>
              </w:rPr>
              <w:t>През 2017г. на база резултати от  прилагането на мярката се приемат нови заявления за подпомагане на биологични производители за дейностите и направленията по подмярка „Плащания за поддържане на биологично з</w:t>
            </w:r>
            <w:r>
              <w:rPr>
                <w:szCs w:val="24"/>
              </w:rPr>
              <w:t>емеделие“. Заявяване на постоянно затревени площи в тези заявления се допуска само от земеделски стопани, които заявяват за подпомагане животни за дейности от направление „Биологично животновъдство“.</w:t>
            </w:r>
          </w:p>
          <w:p w:rsidR="002B3815" w:rsidRDefault="0099452B">
            <w:pPr>
              <w:spacing w:before="240" w:after="240"/>
              <w:jc w:val="left"/>
              <w:rPr>
                <w:szCs w:val="24"/>
              </w:rPr>
            </w:pPr>
            <w:r>
              <w:rPr>
                <w:szCs w:val="24"/>
              </w:rPr>
              <w:t>Към 31.12.2018 г. по мярка 11 са изплатени кампании 2015</w:t>
            </w:r>
            <w:r>
              <w:rPr>
                <w:szCs w:val="24"/>
              </w:rPr>
              <w:t xml:space="preserve"> г., 2016 г. и 2017 г. като общата стойност на изплатените разходи е 74 634 293.46 евро.</w:t>
            </w:r>
          </w:p>
          <w:p w:rsidR="002B3815" w:rsidRDefault="0099452B">
            <w:pPr>
              <w:spacing w:before="240" w:after="240"/>
              <w:jc w:val="left"/>
              <w:rPr>
                <w:szCs w:val="24"/>
              </w:rPr>
            </w:pPr>
            <w:r>
              <w:rPr>
                <w:b/>
                <w:bCs/>
                <w:szCs w:val="24"/>
              </w:rPr>
              <w:t>Мярка 12 „Плащания по „Натура-2000” и Рамковата директива за водите“</w:t>
            </w:r>
          </w:p>
          <w:p w:rsidR="002B3815" w:rsidRDefault="0099452B">
            <w:pPr>
              <w:spacing w:before="240" w:after="240"/>
              <w:jc w:val="left"/>
              <w:rPr>
                <w:szCs w:val="24"/>
              </w:rPr>
            </w:pPr>
            <w:r>
              <w:rPr>
                <w:szCs w:val="24"/>
              </w:rPr>
              <w:t>Темпът на усвояване на средствата по мярката е равномерен,  като участват сходен брой бенефициенти</w:t>
            </w:r>
            <w:r>
              <w:rPr>
                <w:szCs w:val="24"/>
              </w:rPr>
              <w:t>, които стопанисват земеделски земи в защитени зони от Натура 2000. Мярката се прилага частично – само подмярка 12.1. Компенсаторни плащания за земеделски площи в Натура 2000.</w:t>
            </w:r>
          </w:p>
          <w:p w:rsidR="002B3815" w:rsidRDefault="0099452B">
            <w:pPr>
              <w:spacing w:before="240" w:after="240"/>
              <w:jc w:val="left"/>
              <w:rPr>
                <w:szCs w:val="24"/>
              </w:rPr>
            </w:pPr>
            <w:r>
              <w:rPr>
                <w:szCs w:val="24"/>
              </w:rPr>
              <w:t>Към 31.12 2018 г. са извършени плащания на заявените в 2015 г.,2016 и 2017 г. ан</w:t>
            </w:r>
            <w:r>
              <w:rPr>
                <w:szCs w:val="24"/>
              </w:rPr>
              <w:t>гажименти на обща стойност 69 579 205,76 евро.</w:t>
            </w:r>
          </w:p>
          <w:p w:rsidR="002B3815" w:rsidRDefault="0099452B">
            <w:pPr>
              <w:spacing w:before="240" w:after="240"/>
              <w:jc w:val="left"/>
              <w:rPr>
                <w:szCs w:val="24"/>
              </w:rPr>
            </w:pPr>
            <w:r>
              <w:rPr>
                <w:b/>
                <w:bCs/>
                <w:szCs w:val="24"/>
              </w:rPr>
              <w:t>Мярка 13 „Плащания за райони, изправени пред природни или други специфични ограничения“</w:t>
            </w:r>
          </w:p>
          <w:p w:rsidR="002B3815" w:rsidRDefault="0099452B">
            <w:pPr>
              <w:spacing w:before="240" w:after="240"/>
              <w:jc w:val="left"/>
              <w:rPr>
                <w:szCs w:val="24"/>
              </w:rPr>
            </w:pPr>
            <w:r>
              <w:rPr>
                <w:szCs w:val="24"/>
              </w:rPr>
              <w:t>Мярка 13 с двете си подмерки - подмярка 13.1 "Компенсационни плащания в планински райони" и подмярка 13.2 "Компенсационни</w:t>
            </w:r>
            <w:r>
              <w:rPr>
                <w:szCs w:val="24"/>
              </w:rPr>
              <w:t xml:space="preserve"> плащания за други райони, засегнати от значителни природни ограничения" се прилагат от 2105 г. Към 31.12.2018 г. за кампании 2015 г., 2016 г. и 2017 г. са изплатени  136 783 419.88 евро.</w:t>
            </w:r>
          </w:p>
          <w:p w:rsidR="002B3815" w:rsidRDefault="0099452B">
            <w:pPr>
              <w:spacing w:before="240" w:after="240"/>
              <w:jc w:val="left"/>
              <w:rPr>
                <w:szCs w:val="24"/>
              </w:rPr>
            </w:pPr>
            <w:r>
              <w:rPr>
                <w:b/>
                <w:bCs/>
                <w:szCs w:val="24"/>
              </w:rPr>
              <w:t>Мярка 14 "Хуманно отношение към животните"</w:t>
            </w:r>
          </w:p>
          <w:p w:rsidR="002B3815" w:rsidRDefault="0099452B">
            <w:pPr>
              <w:spacing w:before="240" w:after="240"/>
              <w:jc w:val="left"/>
              <w:rPr>
                <w:szCs w:val="24"/>
              </w:rPr>
            </w:pPr>
            <w:r>
              <w:rPr>
                <w:szCs w:val="24"/>
              </w:rPr>
              <w:t>Мярка 14 "Хуманно отношен</w:t>
            </w:r>
            <w:r>
              <w:rPr>
                <w:szCs w:val="24"/>
              </w:rPr>
              <w:t>ие към животните" стартира с кампания 2017 г. и към 31.12. 2018 г. изплатените средства са в размер на 1 986 582,08 евро.</w:t>
            </w:r>
          </w:p>
          <w:p w:rsidR="002B3815" w:rsidRDefault="0099452B">
            <w:pPr>
              <w:spacing w:before="240" w:after="240"/>
              <w:jc w:val="left"/>
              <w:rPr>
                <w:szCs w:val="24"/>
              </w:rPr>
            </w:pPr>
            <w:r>
              <w:rPr>
                <w:b/>
                <w:bCs/>
                <w:szCs w:val="24"/>
              </w:rPr>
              <w:t xml:space="preserve">Финансиране на текущи многогодишни ангажименти по мерки от Ос 2 на ПРСР 2007-2013 </w:t>
            </w:r>
          </w:p>
          <w:p w:rsidR="002B3815" w:rsidRDefault="0099452B">
            <w:pPr>
              <w:spacing w:before="240" w:after="240"/>
              <w:jc w:val="left"/>
              <w:rPr>
                <w:szCs w:val="24"/>
              </w:rPr>
            </w:pPr>
            <w:r>
              <w:rPr>
                <w:szCs w:val="24"/>
              </w:rPr>
              <w:t>В съответствие с РЕГЛАМЕНТ (ЕС) № 1310/2013 НА ЕВРО</w:t>
            </w:r>
            <w:r>
              <w:rPr>
                <w:szCs w:val="24"/>
              </w:rPr>
              <w:t>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w:t>
            </w:r>
            <w:r>
              <w:rPr>
                <w:szCs w:val="24"/>
              </w:rPr>
              <w:t>нт (ЕС) № 1305/2013. В ПРСР 2014-2020 е определено поетите ангажименти по дейности от ПРСР 2007-2013 да бъдат финансирани от ПРСР 2007-2013 г. до изтичането им, а от 2016 г. да бъдат изплащани от бюджета на ПРСР 2014-2020.</w:t>
            </w:r>
          </w:p>
          <w:p w:rsidR="002B3815" w:rsidRDefault="0099452B">
            <w:pPr>
              <w:spacing w:before="240" w:after="240"/>
              <w:jc w:val="left"/>
              <w:rPr>
                <w:szCs w:val="24"/>
              </w:rPr>
            </w:pPr>
            <w:r>
              <w:rPr>
                <w:b/>
                <w:bCs/>
                <w:szCs w:val="24"/>
              </w:rPr>
              <w:t>Мярка 214 „Агроекологични плащани</w:t>
            </w:r>
            <w:r>
              <w:rPr>
                <w:b/>
                <w:bCs/>
                <w:szCs w:val="24"/>
              </w:rPr>
              <w:t>я“</w:t>
            </w:r>
          </w:p>
          <w:p w:rsidR="002B3815" w:rsidRDefault="0099452B">
            <w:pPr>
              <w:spacing w:before="240" w:after="240"/>
              <w:jc w:val="left"/>
              <w:rPr>
                <w:szCs w:val="24"/>
              </w:rPr>
            </w:pPr>
            <w:r>
              <w:rPr>
                <w:szCs w:val="24"/>
              </w:rPr>
              <w:t>Разходи по поетите и изпълнявани ангажименти за всички допустими заявления по мярка 214 „Агроекологични плащания“ от ПРСР 2007-2013 г., извършени след крайния допустим срок за плащания по ПРСР 2007-2013 г. ще бъдат отнесени към бюджета на мярка 10 „Агро</w:t>
            </w:r>
            <w:r>
              <w:rPr>
                <w:szCs w:val="24"/>
              </w:rPr>
              <w:t>екология и климат“ и мярка 11 „Биологично земеделие“ от ПРСР 2014-2020. При недостиг на средствата за поетите и изпълнявани ангажименти по мярка 214 „Агроекологични плащания” от ПРСР 2007-2013 г. преди крайният допустим срок по ПРСР 2007-2013г., те ще бъда</w:t>
            </w:r>
            <w:r>
              <w:rPr>
                <w:szCs w:val="24"/>
              </w:rPr>
              <w:t>т отнесени към бюджета на мярка 10”Агроекология и климат или мярка 11 „Биологично земеделие”.</w:t>
            </w:r>
          </w:p>
          <w:p w:rsidR="002B3815" w:rsidRDefault="0099452B">
            <w:pPr>
              <w:spacing w:before="240" w:after="240"/>
              <w:jc w:val="left"/>
              <w:rPr>
                <w:szCs w:val="24"/>
              </w:rPr>
            </w:pPr>
            <w:r>
              <w:rPr>
                <w:szCs w:val="24"/>
              </w:rPr>
              <w:t>Плащанията към 31.12.2018 г. за кампании 2016 г. и  2017 г. са в размер на 50 410 212,03 евро.</w:t>
            </w:r>
          </w:p>
          <w:p w:rsidR="002B3815" w:rsidRDefault="002B3815">
            <w:pPr>
              <w:pStyle w:val="BodyText"/>
            </w:pPr>
          </w:p>
          <w:p w:rsidR="002B3815" w:rsidRDefault="0099452B">
            <w:pPr>
              <w:pStyle w:val="BodyText3"/>
              <w:jc w:val="left"/>
            </w:pPr>
            <w:r w:rsidRPr="0099452B">
              <w:rPr>
                <w:noProof/>
                <w:lang w:val="en-US"/>
              </w:rPr>
              <w:pict>
                <v:shape id="Picture 100004" o:spid="_x0000_i1058" type="#_x0000_t75" style="width:522pt;height:363pt;visibility:visible;mso-wrap-style:square">
                  <v:imagedata r:id="rId14" o:title=""/>
                </v:shape>
              </w:pict>
            </w:r>
          </w:p>
          <w:p w:rsidR="002B3815" w:rsidRDefault="0099452B">
            <w:pPr>
              <w:pStyle w:val="Footer"/>
              <w:jc w:val="center"/>
            </w:pPr>
            <w:r>
              <w:t>Таблица 1</w:t>
            </w:r>
          </w:p>
          <w:p w:rsidR="002B3815" w:rsidRDefault="0099452B">
            <w:pPr>
              <w:pStyle w:val="Footer"/>
            </w:pPr>
            <w:r w:rsidRPr="0099452B">
              <w:rPr>
                <w:noProof/>
                <w:lang w:val="en-US"/>
              </w:rPr>
              <w:pict>
                <v:shape id="Picture 100005" o:spid="_x0000_i1057" type="#_x0000_t75" style="width:522.75pt;height:303.75pt;visibility:visible;mso-wrap-style:square">
                  <v:imagedata r:id="rId15" o:title=""/>
                </v:shape>
              </w:pict>
            </w:r>
          </w:p>
          <w:p w:rsidR="002B3815" w:rsidRDefault="0099452B">
            <w:pPr>
              <w:pStyle w:val="Footer"/>
              <w:jc w:val="center"/>
            </w:pPr>
            <w:r>
              <w:t>Таблица 2</w:t>
            </w:r>
          </w:p>
          <w:p w:rsidR="002B3815" w:rsidRDefault="0099452B">
            <w:pPr>
              <w:pStyle w:val="Footer"/>
            </w:pPr>
            <w:r w:rsidRPr="0099452B">
              <w:rPr>
                <w:noProof/>
                <w:lang w:val="en-US"/>
              </w:rPr>
              <w:pict>
                <v:shape id="Picture 100006" o:spid="_x0000_i1056" type="#_x0000_t75" style="width:522pt;height:223.5pt;visibility:visible;mso-wrap-style:square">
                  <v:imagedata r:id="rId16" o:title=""/>
                </v:shape>
              </w:pict>
            </w:r>
          </w:p>
          <w:p w:rsidR="002B3815" w:rsidRDefault="0099452B">
            <w:pPr>
              <w:pStyle w:val="Footer"/>
              <w:jc w:val="center"/>
            </w:pPr>
            <w:r>
              <w:t>Таблица 3</w:t>
            </w:r>
          </w:p>
          <w:p w:rsidR="002B3815" w:rsidRDefault="0099452B">
            <w:pPr>
              <w:pStyle w:val="Footer"/>
            </w:pPr>
            <w:r w:rsidRPr="0099452B">
              <w:rPr>
                <w:noProof/>
                <w:lang w:val="en-US"/>
              </w:rPr>
              <w:pict>
                <v:shape id="Picture 100007" o:spid="_x0000_i1055" type="#_x0000_t75" style="width:522pt;height:275.25pt;visibility:visible;mso-wrap-style:square">
                  <v:imagedata r:id="rId17" o:title=""/>
                </v:shape>
              </w:pict>
            </w:r>
          </w:p>
          <w:p w:rsidR="002B3815" w:rsidRDefault="0099452B">
            <w:pPr>
              <w:pStyle w:val="Footer"/>
              <w:jc w:val="center"/>
            </w:pPr>
            <w:r>
              <w:t>Таблица 4</w:t>
            </w:r>
          </w:p>
          <w:p w:rsidR="002B3815" w:rsidRDefault="0099452B">
            <w:pPr>
              <w:pStyle w:val="Footer"/>
            </w:pPr>
            <w:r w:rsidRPr="0099452B">
              <w:rPr>
                <w:noProof/>
                <w:lang w:val="en-US"/>
              </w:rPr>
              <w:pict>
                <v:shape id="Picture 100008" o:spid="_x0000_i1054" type="#_x0000_t75" style="width:522pt;height:244.5pt;visibility:visible;mso-wrap-style:square">
                  <v:imagedata r:id="rId18" o:title=""/>
                </v:shape>
              </w:pict>
            </w:r>
          </w:p>
          <w:p w:rsidR="002B3815" w:rsidRDefault="0099452B">
            <w:pPr>
              <w:pStyle w:val="Footer"/>
              <w:jc w:val="center"/>
            </w:pPr>
            <w:r>
              <w:t>Таблица 5</w:t>
            </w:r>
          </w:p>
          <w:p w:rsidR="002B3815" w:rsidRDefault="0099452B">
            <w:pPr>
              <w:pStyle w:val="Footer"/>
            </w:pPr>
            <w:r w:rsidRPr="0099452B">
              <w:rPr>
                <w:noProof/>
                <w:lang w:val="en-US"/>
              </w:rPr>
              <w:pict>
                <v:shape id="Picture 100009" o:spid="_x0000_i1053" type="#_x0000_t75" style="width:522pt;height:170.25pt;visibility:visible;mso-wrap-style:square">
                  <v:imagedata r:id="rId19" o:title=""/>
                </v:shape>
              </w:pict>
            </w:r>
          </w:p>
          <w:p w:rsidR="002B3815" w:rsidRDefault="0099452B">
            <w:pPr>
              <w:pStyle w:val="Footer"/>
              <w:jc w:val="center"/>
            </w:pPr>
            <w:r>
              <w:t>Таблица 6</w:t>
            </w:r>
          </w:p>
          <w:p w:rsidR="002B3815" w:rsidRDefault="0099452B">
            <w:pPr>
              <w:pStyle w:val="Footer"/>
            </w:pPr>
            <w:r w:rsidRPr="0099452B">
              <w:rPr>
                <w:noProof/>
                <w:lang w:val="en-US"/>
              </w:rPr>
              <w:pict>
                <v:shape id="Picture 100010" o:spid="_x0000_i1052" type="#_x0000_t75" style="width:521.25pt;height:259.5pt;visibility:visible;mso-wrap-style:square">
                  <v:imagedata r:id="rId20" o:title=""/>
                </v:shape>
              </w:pict>
            </w:r>
          </w:p>
          <w:p w:rsidR="002B3815" w:rsidRDefault="0099452B">
            <w:pPr>
              <w:pStyle w:val="Footer"/>
              <w:jc w:val="center"/>
            </w:pPr>
            <w:r>
              <w:t>Таблица 7</w:t>
            </w:r>
          </w:p>
          <w:p w:rsidR="002B3815" w:rsidRDefault="0099452B">
            <w:pPr>
              <w:pStyle w:val="Footer"/>
            </w:pPr>
            <w:r w:rsidRPr="0099452B">
              <w:rPr>
                <w:noProof/>
                <w:lang w:val="en-US"/>
              </w:rPr>
              <w:pict>
                <v:shape id="Picture 100011" o:spid="_x0000_i1051" type="#_x0000_t75" style="width:522pt;height:409.5pt;visibility:visible;mso-wrap-style:square">
                  <v:imagedata r:id="rId21" o:title=""/>
                </v:shape>
              </w:pict>
            </w:r>
          </w:p>
          <w:p w:rsidR="002B3815" w:rsidRDefault="0099452B">
            <w:pPr>
              <w:pStyle w:val="Footer"/>
              <w:jc w:val="center"/>
            </w:pPr>
            <w:r>
              <w:t>Таблица 8</w:t>
            </w:r>
          </w:p>
          <w:p w:rsidR="002B3815" w:rsidRDefault="0099452B">
            <w:pPr>
              <w:pStyle w:val="Footer"/>
            </w:pPr>
            <w:r w:rsidRPr="0099452B">
              <w:rPr>
                <w:noProof/>
                <w:lang w:val="en-US"/>
              </w:rPr>
              <w:pict>
                <v:shape id="Picture 100012" o:spid="_x0000_i1050" type="#_x0000_t75" style="width:521.25pt;height:184.5pt;visibility:visible;mso-wrap-style:square">
                  <v:imagedata r:id="rId22" o:title=""/>
                </v:shape>
              </w:pict>
            </w:r>
          </w:p>
          <w:p w:rsidR="002B3815" w:rsidRDefault="0099452B">
            <w:pPr>
              <w:pStyle w:val="Footer"/>
              <w:jc w:val="center"/>
            </w:pPr>
            <w:r>
              <w:t>Таблица 9</w:t>
            </w:r>
          </w:p>
          <w:p w:rsidR="002B3815" w:rsidRDefault="0099452B">
            <w:pPr>
              <w:pStyle w:val="Footer"/>
            </w:pPr>
            <w:r w:rsidRPr="0099452B">
              <w:rPr>
                <w:noProof/>
                <w:lang w:val="en-US"/>
              </w:rPr>
              <w:pict>
                <v:shape id="Picture 100013" o:spid="_x0000_i1049" type="#_x0000_t75" style="width:522pt;height:239.25pt;visibility:visible;mso-wrap-style:square">
                  <v:imagedata r:id="rId23" o:title=""/>
                </v:shape>
              </w:pict>
            </w:r>
          </w:p>
          <w:p w:rsidR="002B3815" w:rsidRDefault="0099452B">
            <w:pPr>
              <w:pStyle w:val="Footer"/>
              <w:jc w:val="center"/>
            </w:pPr>
            <w:r>
              <w:t>Таблица 10</w:t>
            </w:r>
          </w:p>
          <w:p w:rsidR="002B3815" w:rsidRDefault="0099452B">
            <w:pPr>
              <w:pStyle w:val="Footer"/>
            </w:pPr>
            <w:r w:rsidRPr="0099452B">
              <w:rPr>
                <w:noProof/>
                <w:lang w:val="en-US"/>
              </w:rPr>
              <w:pict>
                <v:shape id="Picture 100014" o:spid="_x0000_i1048" type="#_x0000_t75" style="width:522pt;height:358.5pt;visibility:visible;mso-wrap-style:square">
                  <v:imagedata r:id="rId24" o:title=""/>
                </v:shape>
              </w:pict>
            </w:r>
          </w:p>
          <w:p w:rsidR="002B3815" w:rsidRDefault="0099452B">
            <w:pPr>
              <w:pStyle w:val="Footer"/>
              <w:jc w:val="center"/>
            </w:pPr>
            <w:r>
              <w:t>Таблица 11</w:t>
            </w:r>
          </w:p>
          <w:p w:rsidR="002B3815" w:rsidRDefault="0099452B">
            <w:pPr>
              <w:pStyle w:val="Footer"/>
            </w:pPr>
            <w:r w:rsidRPr="0099452B">
              <w:rPr>
                <w:noProof/>
                <w:lang w:val="en-US"/>
              </w:rPr>
              <w:pict>
                <v:shape id="Picture 100015" o:spid="_x0000_i1047" type="#_x0000_t75" style="width:521.25pt;height:198.75pt;visibility:visible;mso-wrap-style:square">
                  <v:imagedata r:id="rId25" o:title=""/>
                </v:shape>
              </w:pict>
            </w:r>
          </w:p>
          <w:p w:rsidR="002B3815" w:rsidRDefault="0099452B">
            <w:pPr>
              <w:pStyle w:val="Footer"/>
              <w:jc w:val="center"/>
            </w:pPr>
            <w:r>
              <w:t>Таблица 12</w:t>
            </w:r>
          </w:p>
          <w:p w:rsidR="002B3815" w:rsidRDefault="0099452B">
            <w:pPr>
              <w:pStyle w:val="Footer"/>
            </w:pPr>
            <w:r w:rsidRPr="0099452B">
              <w:rPr>
                <w:noProof/>
                <w:lang w:val="en-US"/>
              </w:rPr>
              <w:pict>
                <v:shape id="Picture 100016" o:spid="_x0000_i1046" type="#_x0000_t75" style="width:522pt;height:321pt;visibility:visible;mso-wrap-style:square">
                  <v:imagedata r:id="rId26" o:title=""/>
                </v:shape>
              </w:pict>
            </w:r>
          </w:p>
          <w:p w:rsidR="002B3815" w:rsidRDefault="0099452B">
            <w:pPr>
              <w:pStyle w:val="Footer"/>
              <w:jc w:val="center"/>
            </w:pPr>
            <w:r>
              <w:t>Таблица 13</w:t>
            </w:r>
          </w:p>
          <w:p w:rsidR="002B3815" w:rsidRDefault="0099452B">
            <w:pPr>
              <w:pStyle w:val="Footer"/>
            </w:pPr>
            <w:r w:rsidRPr="0099452B">
              <w:rPr>
                <w:noProof/>
                <w:lang w:val="en-US"/>
              </w:rPr>
              <w:pict>
                <v:shape id="Picture 100017" o:spid="_x0000_i1045" type="#_x0000_t75" style="width:522pt;height:235.5pt;visibility:visible;mso-wrap-style:square">
                  <v:imagedata r:id="rId27" o:title=""/>
                </v:shape>
              </w:pict>
            </w:r>
          </w:p>
          <w:p w:rsidR="002B3815" w:rsidRDefault="0099452B">
            <w:pPr>
              <w:pStyle w:val="Footer"/>
              <w:jc w:val="center"/>
            </w:pPr>
            <w:r>
              <w:t>Таблица 14</w:t>
            </w:r>
          </w:p>
          <w:p w:rsidR="002B3815" w:rsidRDefault="0099452B">
            <w:pPr>
              <w:pStyle w:val="Footer"/>
            </w:pPr>
            <w:r w:rsidRPr="0099452B">
              <w:rPr>
                <w:noProof/>
                <w:lang w:val="en-US"/>
              </w:rPr>
              <w:pict>
                <v:shape id="Picture 100018" o:spid="_x0000_i1044" type="#_x0000_t75" style="width:522pt;height:271.5pt;visibility:visible;mso-wrap-style:square">
                  <v:imagedata r:id="rId28" o:title=""/>
                </v:shape>
              </w:pict>
            </w:r>
          </w:p>
          <w:p w:rsidR="002B3815" w:rsidRDefault="0099452B">
            <w:pPr>
              <w:pStyle w:val="Footer"/>
              <w:jc w:val="center"/>
            </w:pPr>
            <w:r>
              <w:t>Таблица 15</w:t>
            </w:r>
          </w:p>
          <w:p w:rsidR="002B3815" w:rsidRDefault="0099452B">
            <w:pPr>
              <w:pStyle w:val="Footer"/>
            </w:pPr>
            <w:r w:rsidRPr="0099452B">
              <w:rPr>
                <w:noProof/>
                <w:lang w:val="en-US"/>
              </w:rPr>
              <w:pict>
                <v:shape id="Picture 100019" o:spid="_x0000_i1043" type="#_x0000_t75" style="width:522pt;height:232.5pt;visibility:visible;mso-wrap-style:square">
                  <v:imagedata r:id="rId29" o:title=""/>
                </v:shape>
              </w:pict>
            </w:r>
          </w:p>
          <w:p w:rsidR="002B3815" w:rsidRDefault="0099452B">
            <w:pPr>
              <w:pStyle w:val="Footer"/>
              <w:jc w:val="center"/>
            </w:pPr>
            <w:r>
              <w:t>Таблица 16</w:t>
            </w:r>
          </w:p>
          <w:p w:rsidR="002B3815" w:rsidRDefault="0099452B">
            <w:pPr>
              <w:pStyle w:val="Footer"/>
            </w:pPr>
            <w:r w:rsidRPr="0099452B">
              <w:rPr>
                <w:noProof/>
                <w:lang w:val="en-US"/>
              </w:rPr>
              <w:pict>
                <v:shape id="Picture 100020" o:spid="_x0000_i1042" type="#_x0000_t75" style="width:522pt;height:564.75pt;visibility:visible;mso-wrap-style:square">
                  <v:imagedata r:id="rId30" o:title=""/>
                </v:shape>
              </w:pict>
            </w:r>
          </w:p>
          <w:p w:rsidR="002B3815" w:rsidRDefault="0099452B">
            <w:pPr>
              <w:pStyle w:val="Footer"/>
              <w:jc w:val="center"/>
            </w:pPr>
            <w:r>
              <w:t>Таблица 17</w:t>
            </w:r>
          </w:p>
          <w:p w:rsidR="002B3815" w:rsidRDefault="0099452B">
            <w:pPr>
              <w:pStyle w:val="Footer"/>
            </w:pPr>
            <w:r w:rsidRPr="0099452B">
              <w:rPr>
                <w:noProof/>
                <w:lang w:val="en-US"/>
              </w:rPr>
              <w:pict>
                <v:shape id="Picture 100021" o:spid="_x0000_i1041" type="#_x0000_t75" style="width:522pt;height:618pt;visibility:visible;mso-wrap-style:square">
                  <v:imagedata r:id="rId31" o:title=""/>
                </v:shape>
              </w:pict>
            </w:r>
          </w:p>
          <w:p w:rsidR="002B3815" w:rsidRDefault="0099452B">
            <w:pPr>
              <w:pStyle w:val="Footer"/>
              <w:jc w:val="center"/>
            </w:pPr>
            <w:r>
              <w:t>Таблица 18</w:t>
            </w:r>
          </w:p>
          <w:p w:rsidR="002B3815" w:rsidRDefault="0099452B">
            <w:pPr>
              <w:pStyle w:val="Footer"/>
            </w:pPr>
            <w:r w:rsidRPr="0099452B">
              <w:rPr>
                <w:noProof/>
                <w:lang w:val="en-US"/>
              </w:rPr>
              <w:pict>
                <v:shape id="Picture 100022" o:spid="_x0000_i1040" type="#_x0000_t75" style="width:522pt;height:381.75pt;visibility:visible;mso-wrap-style:square">
                  <v:imagedata r:id="rId32" o:title=""/>
                </v:shape>
              </w:pict>
            </w:r>
          </w:p>
          <w:p w:rsidR="002B3815" w:rsidRDefault="0099452B">
            <w:pPr>
              <w:pStyle w:val="Footer"/>
              <w:jc w:val="center"/>
            </w:pPr>
            <w:r>
              <w:t>Таблица 19</w:t>
            </w:r>
          </w:p>
          <w:p w:rsidR="002B3815" w:rsidRDefault="0099452B">
            <w:pPr>
              <w:pStyle w:val="Footer"/>
            </w:pPr>
            <w:r w:rsidRPr="0099452B">
              <w:rPr>
                <w:noProof/>
                <w:lang w:val="en-US"/>
              </w:rPr>
              <w:pict>
                <v:shape id="Picture 100023" o:spid="_x0000_i1039" type="#_x0000_t75" style="width:521.25pt;height:211.5pt;visibility:visible;mso-wrap-style:square">
                  <v:imagedata r:id="rId33" o:title=""/>
                </v:shape>
              </w:pict>
            </w:r>
          </w:p>
          <w:p w:rsidR="002B3815" w:rsidRDefault="0099452B">
            <w:pPr>
              <w:pStyle w:val="Footer"/>
              <w:jc w:val="center"/>
            </w:pPr>
            <w:r>
              <w:t>Таблица 20</w:t>
            </w:r>
          </w:p>
          <w:p w:rsidR="002B3815" w:rsidRDefault="0099452B">
            <w:pPr>
              <w:pStyle w:val="Footer"/>
            </w:pPr>
            <w:r w:rsidRPr="0099452B">
              <w:rPr>
                <w:noProof/>
                <w:lang w:val="en-US"/>
              </w:rPr>
              <w:pict>
                <v:shape id="Picture 100024" o:spid="_x0000_i1038" type="#_x0000_t75" style="width:522pt;height:387pt;visibility:visible;mso-wrap-style:square">
                  <v:imagedata r:id="rId34" o:title=""/>
                </v:shape>
              </w:pict>
            </w:r>
          </w:p>
          <w:p w:rsidR="002B3815" w:rsidRDefault="0099452B">
            <w:pPr>
              <w:pStyle w:val="Footer"/>
              <w:jc w:val="center"/>
            </w:pPr>
            <w:r>
              <w:t>Таблица 21</w:t>
            </w:r>
          </w:p>
          <w:p w:rsidR="002B3815" w:rsidRDefault="0099452B">
            <w:pPr>
              <w:pStyle w:val="Footer"/>
            </w:pPr>
            <w:r w:rsidRPr="0099452B">
              <w:rPr>
                <w:noProof/>
                <w:lang w:val="en-US"/>
              </w:rPr>
              <w:pict>
                <v:shape id="Picture 100025" o:spid="_x0000_i1037" type="#_x0000_t75" style="width:522pt;height:189pt;visibility:visible;mso-wrap-style:square">
                  <v:imagedata r:id="rId35" o:title=""/>
                </v:shape>
              </w:pict>
            </w:r>
          </w:p>
          <w:p w:rsidR="002B3815" w:rsidRDefault="0099452B">
            <w:pPr>
              <w:pStyle w:val="Footer"/>
              <w:jc w:val="center"/>
            </w:pPr>
            <w:r>
              <w:t>Таблица 22</w:t>
            </w:r>
          </w:p>
          <w:p w:rsidR="002B3815" w:rsidRDefault="0099452B">
            <w:pPr>
              <w:pStyle w:val="Footer"/>
            </w:pPr>
            <w:r w:rsidRPr="0099452B">
              <w:rPr>
                <w:noProof/>
                <w:lang w:val="en-US"/>
              </w:rPr>
              <w:pict>
                <v:shape id="Picture 100026" o:spid="_x0000_i1036" type="#_x0000_t75" style="width:522.75pt;height:215.25pt;visibility:visible;mso-wrap-style:square">
                  <v:imagedata r:id="rId36" o:title=""/>
                </v:shape>
              </w:pict>
            </w:r>
          </w:p>
          <w:p w:rsidR="002B3815" w:rsidRDefault="0099452B">
            <w:pPr>
              <w:pStyle w:val="Footer"/>
              <w:jc w:val="center"/>
            </w:pPr>
            <w:r>
              <w:t>Таблица 23</w:t>
            </w:r>
          </w:p>
          <w:p w:rsidR="002B3815" w:rsidRDefault="0099452B">
            <w:pPr>
              <w:pStyle w:val="Footer"/>
              <w:jc w:val="center"/>
            </w:pPr>
            <w:r w:rsidRPr="0099452B">
              <w:rPr>
                <w:noProof/>
                <w:lang w:val="en-US"/>
              </w:rPr>
              <w:pict>
                <v:shape id="Picture 100027" o:spid="_x0000_i1035" type="#_x0000_t75" style="width:462pt;height:651pt;visibility:visible;mso-wrap-style:square">
                  <v:imagedata r:id="rId37" o:title=""/>
                </v:shape>
              </w:pict>
            </w:r>
          </w:p>
          <w:p w:rsidR="002B3815" w:rsidRDefault="0099452B">
            <w:pPr>
              <w:pStyle w:val="Footer"/>
              <w:jc w:val="center"/>
            </w:pPr>
            <w:r>
              <w:t>Таблица 24-1</w:t>
            </w:r>
          </w:p>
          <w:p w:rsidR="002B3815" w:rsidRDefault="0099452B">
            <w:pPr>
              <w:pStyle w:val="Footer"/>
            </w:pPr>
            <w:r w:rsidRPr="0099452B">
              <w:rPr>
                <w:noProof/>
                <w:lang w:val="en-US"/>
              </w:rPr>
              <w:pict>
                <v:shape id="Picture 100028" o:spid="_x0000_i1034" type="#_x0000_t75" style="width:522pt;height:648.75pt;visibility:visible;mso-wrap-style:square">
                  <v:imagedata r:id="rId38" o:title=""/>
                </v:shape>
              </w:pict>
            </w:r>
          </w:p>
          <w:p w:rsidR="002B3815" w:rsidRDefault="0099452B">
            <w:pPr>
              <w:pStyle w:val="Footer"/>
              <w:jc w:val="center"/>
            </w:pPr>
            <w:r>
              <w:t xml:space="preserve">Таблица </w:t>
            </w:r>
            <w:r>
              <w:t>24-2</w:t>
            </w:r>
          </w:p>
          <w:p w:rsidR="002B3815" w:rsidRDefault="002B3815">
            <w:pPr>
              <w:pStyle w:val="Footer"/>
              <w:jc w:val="center"/>
            </w:pPr>
          </w:p>
        </w:tc>
      </w:tr>
    </w:tbl>
    <w:p w:rsidR="002B3815" w:rsidRDefault="0099452B">
      <w:pPr>
        <w:pStyle w:val="Heading2"/>
      </w:pPr>
      <w:bookmarkStart w:id="16" w:name="_Toc256000167"/>
      <w:bookmarkStart w:id="17" w:name="_Toc256000085"/>
      <w:bookmarkStart w:id="18" w:name="_Toc256000005"/>
      <w:r>
        <w:t>Ключова информация относно постиженията във връзка с етапните цели, определени в рамката на изпълнението въз основа на таблица Е</w:t>
      </w:r>
      <w:bookmarkEnd w:id="16"/>
      <w:bookmarkEnd w:id="17"/>
      <w:bookmarkEnd w:id="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2B3815">
        <w:tc>
          <w:tcPr>
            <w:tcW w:w="750" w:type="pct"/>
            <w:shd w:val="clear" w:color="auto" w:fill="auto"/>
            <w:vAlign w:val="center"/>
          </w:tcPr>
          <w:p w:rsidR="002B3815" w:rsidRDefault="0099452B" w:rsidP="0099452B">
            <w:pPr>
              <w:numPr>
                <w:ilvl w:val="0"/>
                <w:numId w:val="33"/>
              </w:numPr>
              <w:spacing w:before="0" w:after="240"/>
              <w:ind w:hanging="210"/>
              <w:jc w:val="left"/>
              <w:rPr>
                <w:szCs w:val="24"/>
              </w:rPr>
            </w:pPr>
            <w:r>
              <w:rPr>
                <w:b/>
                <w:bCs/>
                <w:szCs w:val="24"/>
              </w:rPr>
              <w:t>Втори</w:t>
            </w:r>
            <w:r>
              <w:rPr>
                <w:szCs w:val="24"/>
              </w:rPr>
              <w:t xml:space="preserve"> </w:t>
            </w:r>
            <w:r>
              <w:rPr>
                <w:b/>
                <w:bCs/>
                <w:szCs w:val="24"/>
              </w:rPr>
              <w:t xml:space="preserve">приоритет - </w:t>
            </w:r>
            <w:r>
              <w:rPr>
                <w:szCs w:val="24"/>
              </w:rPr>
              <w:t>Показателите са изпълнени без наличие на риск.</w:t>
            </w:r>
          </w:p>
          <w:p w:rsidR="002B3815" w:rsidRDefault="0099452B">
            <w:pPr>
              <w:spacing w:before="240" w:after="240"/>
              <w:jc w:val="left"/>
              <w:rPr>
                <w:szCs w:val="24"/>
              </w:rPr>
            </w:pPr>
            <w:r>
              <w:rPr>
                <w:szCs w:val="24"/>
              </w:rPr>
              <w:t>Предвидените междинни стойности на показателите по този</w:t>
            </w:r>
            <w:r>
              <w:rPr>
                <w:szCs w:val="24"/>
              </w:rPr>
              <w:t xml:space="preserve"> приоритет са изпълнени, принос по него оказват подмярка 4.1 „Инвестиции в земеделски стопанства”, подмярка 6.1 „Стартова помощ за млади земеделски стопани” и подмярка 6.3 „Стартова помощ за развитие на малки стопанства“.</w:t>
            </w:r>
          </w:p>
          <w:p w:rsidR="002B3815" w:rsidRDefault="0099452B">
            <w:pPr>
              <w:spacing w:before="240" w:after="240"/>
              <w:jc w:val="left"/>
              <w:rPr>
                <w:szCs w:val="24"/>
              </w:rPr>
            </w:pPr>
            <w:r>
              <w:rPr>
                <w:szCs w:val="24"/>
              </w:rPr>
              <w:t>Заложената междинна цел по отношен</w:t>
            </w:r>
            <w:r>
              <w:rPr>
                <w:szCs w:val="24"/>
              </w:rPr>
              <w:t>ие на показател „Брой на земеделски стопанства с подпомагане от ПРСР за инвестиции в модернизация (М 4.1) и млади земеделски стопани, подпомагани по линия на ПРСР (област с поставен акцент 2Б)” е надхвърлена с 1 707, като сумата от 3 347 стопанства е базир</w:t>
            </w:r>
            <w:r>
              <w:rPr>
                <w:szCs w:val="24"/>
              </w:rPr>
              <w:t>ана на проекти с получени плащания по 4.1, 6.1, 6.3, както и втори плащания по мярка 112 от предходния програмен период, които се финансират чрез бюджета от настоящата програма. Към 31 декември 2018 г. преизпълнението по тази цел е 104,1%.</w:t>
            </w:r>
          </w:p>
          <w:p w:rsidR="002B3815" w:rsidRDefault="0099452B">
            <w:pPr>
              <w:spacing w:before="240" w:after="240"/>
              <w:jc w:val="left"/>
              <w:rPr>
                <w:szCs w:val="24"/>
              </w:rPr>
            </w:pPr>
            <w:r>
              <w:rPr>
                <w:szCs w:val="24"/>
              </w:rPr>
              <w:t>Междинната стойн</w:t>
            </w:r>
            <w:r>
              <w:rPr>
                <w:szCs w:val="24"/>
              </w:rPr>
              <w:t>ост на показателя за „Общо публични разходи“ към 31.12.2018 г. е преизпълнена с 96,2 % въз основа на 182 млн. евро разплатени средства.</w:t>
            </w:r>
          </w:p>
          <w:p w:rsidR="002B3815" w:rsidRDefault="0099452B" w:rsidP="0099452B">
            <w:pPr>
              <w:numPr>
                <w:ilvl w:val="0"/>
                <w:numId w:val="34"/>
              </w:numPr>
              <w:spacing w:before="240" w:after="240"/>
              <w:ind w:hanging="210"/>
              <w:jc w:val="left"/>
              <w:rPr>
                <w:szCs w:val="24"/>
              </w:rPr>
            </w:pPr>
            <w:r>
              <w:rPr>
                <w:b/>
                <w:bCs/>
                <w:szCs w:val="24"/>
              </w:rPr>
              <w:t>Трети</w:t>
            </w:r>
            <w:r>
              <w:rPr>
                <w:szCs w:val="24"/>
              </w:rPr>
              <w:t xml:space="preserve"> </w:t>
            </w:r>
            <w:r>
              <w:rPr>
                <w:b/>
                <w:bCs/>
                <w:szCs w:val="24"/>
              </w:rPr>
              <w:t>приоритет -</w:t>
            </w:r>
            <w:r>
              <w:rPr>
                <w:szCs w:val="24"/>
              </w:rPr>
              <w:t xml:space="preserve"> Показателите са изпълнени частично.</w:t>
            </w:r>
          </w:p>
          <w:p w:rsidR="002B3815" w:rsidRDefault="0099452B">
            <w:pPr>
              <w:spacing w:before="240" w:after="240"/>
              <w:jc w:val="left"/>
              <w:rPr>
                <w:szCs w:val="24"/>
              </w:rPr>
            </w:pPr>
            <w:r>
              <w:rPr>
                <w:szCs w:val="24"/>
              </w:rPr>
              <w:t>Заложената междинна цел по отношение на показател „Брой на земедел</w:t>
            </w:r>
            <w:r>
              <w:rPr>
                <w:szCs w:val="24"/>
              </w:rPr>
              <w:t>ските стопанства, получаващи подпомагане за местни пазари и (М 16.4) и групи на производители (М. 9) (област с поставен акцент 3A)“ е изпълнена частично. Към 31 декември 2018 г. са одобрени 7 заявления за подпомагане по мярка 9 „Създаване на групи/организа</w:t>
            </w:r>
            <w:r>
              <w:rPr>
                <w:szCs w:val="24"/>
              </w:rPr>
              <w:t>ции на производители“, което е 7,8 % от заложената цел. Мярка 16 „Сътрудничество“ не е стартирала към 31.12.2018 г. В тази връзка е необходимо да бъдат предприети навременни действия за стартиране на съответните мерки.</w:t>
            </w:r>
          </w:p>
          <w:p w:rsidR="002B3815" w:rsidRDefault="0099452B">
            <w:pPr>
              <w:spacing w:before="240" w:after="240"/>
              <w:jc w:val="left"/>
              <w:rPr>
                <w:szCs w:val="24"/>
              </w:rPr>
            </w:pPr>
            <w:r>
              <w:rPr>
                <w:szCs w:val="24"/>
              </w:rPr>
              <w:t xml:space="preserve">По отношение на индикатора „Брой </w:t>
            </w:r>
            <w:r>
              <w:rPr>
                <w:szCs w:val="24"/>
              </w:rPr>
              <w:t>операции подпомогнати по M4.2 за преработка и маркетинг на зеделска продукция“ планът на показателите предвижда към края на 2018 г. да са приключени общо 90 проекта с получено окончателно плащане, като към 31 декември 2018 г. те са 69, което представлява 7</w:t>
            </w:r>
            <w:r>
              <w:rPr>
                <w:szCs w:val="24"/>
              </w:rPr>
              <w:t>6,7 % от заложената цел.</w:t>
            </w:r>
          </w:p>
          <w:p w:rsidR="002B3815" w:rsidRDefault="0099452B">
            <w:pPr>
              <w:spacing w:before="240" w:after="240"/>
              <w:jc w:val="left"/>
              <w:rPr>
                <w:szCs w:val="24"/>
              </w:rPr>
            </w:pPr>
            <w:r>
              <w:rPr>
                <w:szCs w:val="24"/>
              </w:rPr>
              <w:t>По отношение на междинната стойност на показателя „Общо публични разходи“ в размер на 63 316 102 евро, към 31 декември 2018 г. е налице изпълнение 58 % или реализирани 37 038 123.00 евро.</w:t>
            </w:r>
          </w:p>
          <w:p w:rsidR="002B3815" w:rsidRDefault="0099452B">
            <w:pPr>
              <w:spacing w:before="240" w:after="240"/>
              <w:jc w:val="left"/>
              <w:rPr>
                <w:szCs w:val="24"/>
              </w:rPr>
            </w:pPr>
            <w:r>
              <w:rPr>
                <w:szCs w:val="24"/>
              </w:rPr>
              <w:t>       </w:t>
            </w:r>
            <w:r>
              <w:rPr>
                <w:b/>
                <w:bCs/>
                <w:szCs w:val="24"/>
              </w:rPr>
              <w:t>Четвърти</w:t>
            </w:r>
            <w:r>
              <w:rPr>
                <w:szCs w:val="24"/>
              </w:rPr>
              <w:t xml:space="preserve"> </w:t>
            </w:r>
            <w:r>
              <w:rPr>
                <w:b/>
                <w:bCs/>
                <w:szCs w:val="24"/>
              </w:rPr>
              <w:t xml:space="preserve">приоритет – </w:t>
            </w:r>
            <w:r>
              <w:rPr>
                <w:szCs w:val="24"/>
              </w:rPr>
              <w:t>Показателите са</w:t>
            </w:r>
            <w:r>
              <w:rPr>
                <w:szCs w:val="24"/>
              </w:rPr>
              <w:t xml:space="preserve"> изпълнени без наличие на риск</w:t>
            </w:r>
          </w:p>
          <w:p w:rsidR="002B3815" w:rsidRDefault="0099452B">
            <w:pPr>
              <w:spacing w:before="240" w:after="240"/>
              <w:jc w:val="left"/>
              <w:rPr>
                <w:szCs w:val="24"/>
              </w:rPr>
            </w:pPr>
            <w:r>
              <w:rPr>
                <w:szCs w:val="24"/>
              </w:rPr>
              <w:t>Въз основа на данните е видно, че междинният показател „</w:t>
            </w:r>
            <w:r>
              <w:rPr>
                <w:i/>
                <w:iCs/>
                <w:szCs w:val="24"/>
              </w:rPr>
              <w:t>Общо</w:t>
            </w:r>
            <w:r>
              <w:rPr>
                <w:szCs w:val="24"/>
              </w:rPr>
              <w:t xml:space="preserve"> </w:t>
            </w:r>
            <w:r>
              <w:rPr>
                <w:i/>
                <w:iCs/>
                <w:szCs w:val="24"/>
              </w:rPr>
              <w:t>публични</w:t>
            </w:r>
            <w:r>
              <w:rPr>
                <w:szCs w:val="24"/>
              </w:rPr>
              <w:t xml:space="preserve"> </w:t>
            </w:r>
            <w:r>
              <w:rPr>
                <w:i/>
                <w:iCs/>
                <w:szCs w:val="24"/>
              </w:rPr>
              <w:t>разходи</w:t>
            </w:r>
            <w:r>
              <w:rPr>
                <w:szCs w:val="24"/>
              </w:rPr>
              <w:t>“ към 31.12.2018 г. е преизпълнен с 97,9 % на база над 387 млн. евро изплатени публични разходи.</w:t>
            </w:r>
          </w:p>
          <w:p w:rsidR="002B3815" w:rsidRDefault="0099452B">
            <w:pPr>
              <w:spacing w:before="240" w:after="240"/>
              <w:jc w:val="left"/>
              <w:rPr>
                <w:szCs w:val="24"/>
              </w:rPr>
            </w:pPr>
            <w:r>
              <w:rPr>
                <w:szCs w:val="24"/>
              </w:rPr>
              <w:t>Изпълнението на показател „Земеделска земя, обхвана</w:t>
            </w:r>
            <w:r>
              <w:rPr>
                <w:szCs w:val="24"/>
              </w:rPr>
              <w:t>та от договори за подпомагане по М 10, М 11 и М 12 с цел опазване на природните ресурси“ е с преизпълнение от 120 %, като заложената цел по отношение на обхванатите площи е 362 400 хектара, а обхванатите площи към 31.12.2018 г. възлизат на 797 327 ха.</w:t>
            </w:r>
          </w:p>
          <w:p w:rsidR="002B3815" w:rsidRDefault="0099452B" w:rsidP="0099452B">
            <w:pPr>
              <w:numPr>
                <w:ilvl w:val="0"/>
                <w:numId w:val="35"/>
              </w:numPr>
              <w:spacing w:before="240" w:after="240"/>
              <w:ind w:hanging="210"/>
              <w:jc w:val="left"/>
              <w:rPr>
                <w:szCs w:val="24"/>
              </w:rPr>
            </w:pPr>
            <w:r>
              <w:rPr>
                <w:b/>
                <w:bCs/>
                <w:szCs w:val="24"/>
              </w:rPr>
              <w:t>Пети</w:t>
            </w:r>
            <w:r>
              <w:rPr>
                <w:szCs w:val="24"/>
              </w:rPr>
              <w:t xml:space="preserve"> </w:t>
            </w:r>
            <w:r>
              <w:rPr>
                <w:b/>
                <w:bCs/>
                <w:szCs w:val="24"/>
              </w:rPr>
              <w:t>приоритет</w:t>
            </w:r>
            <w:r>
              <w:rPr>
                <w:szCs w:val="24"/>
              </w:rPr>
              <w:t xml:space="preserve"> </w:t>
            </w:r>
            <w:r>
              <w:rPr>
                <w:b/>
                <w:bCs/>
                <w:szCs w:val="24"/>
              </w:rPr>
              <w:t xml:space="preserve">– </w:t>
            </w:r>
            <w:r>
              <w:rPr>
                <w:szCs w:val="24"/>
              </w:rPr>
              <w:t>показателите не са изпълнени</w:t>
            </w:r>
          </w:p>
          <w:p w:rsidR="002B3815" w:rsidRDefault="0099452B">
            <w:pPr>
              <w:spacing w:before="240" w:after="240"/>
              <w:jc w:val="left"/>
              <w:rPr>
                <w:szCs w:val="24"/>
              </w:rPr>
            </w:pPr>
            <w:r>
              <w:rPr>
                <w:szCs w:val="24"/>
              </w:rPr>
              <w:t>Изпълнението на индикатор „Брой на инвестиционните операции в енергоспестяването и енергийната ефективност и енергия от възобновяеми източници (М 4.1, М 4.2 М 7.2)“ е затруднено поради ниския интерес от страна на к</w:t>
            </w:r>
            <w:r>
              <w:rPr>
                <w:szCs w:val="24"/>
              </w:rPr>
              <w:t>андидатите по подмярка 4.1 „Инвестиции в земеделски стопанства“ и подмярка 4.2 „Инвестиции в преработка/маркетинг на селскостопански продукти“ към инвестиции във ВЕИ. Показателят, който следва да бъде постигнат към края на 2018 г. са 148 брой инвестиционни</w:t>
            </w:r>
            <w:r>
              <w:rPr>
                <w:szCs w:val="24"/>
              </w:rPr>
              <w:t xml:space="preserve"> операции, като към 31 декември 2018 г. са достигнати 48 операции или 32,4 % от междинния показател.</w:t>
            </w:r>
          </w:p>
          <w:p w:rsidR="002B3815" w:rsidRDefault="0099452B">
            <w:pPr>
              <w:spacing w:before="240" w:after="240"/>
              <w:jc w:val="left"/>
              <w:rPr>
                <w:szCs w:val="24"/>
              </w:rPr>
            </w:pPr>
            <w:r>
              <w:rPr>
                <w:szCs w:val="24"/>
              </w:rPr>
              <w:t>При показател „Земеделски и горски земи под управление с цел намаляване на емисиите на парникови газове, въглерод и/или амоняк, преминаващи към по-ефективн</w:t>
            </w:r>
            <w:r>
              <w:rPr>
                <w:szCs w:val="24"/>
              </w:rPr>
              <w:t>и напоителни системи (М 4.1, М 4.3, М 8, М 10) спрямо заложената междинна стойност от 11 013 ха, изпълнението към 31 декември 2018 г. показва надхвърляне със 179,9% въз основа на поети ангажименти главно по мярка 10 „Агроекология и климат”, където обхванат</w:t>
            </w:r>
            <w:r>
              <w:rPr>
                <w:szCs w:val="24"/>
              </w:rPr>
              <w:t>ите площи възлизат на 30 820 ха.</w:t>
            </w:r>
          </w:p>
          <w:p w:rsidR="002B3815" w:rsidRDefault="0099452B">
            <w:pPr>
              <w:spacing w:before="240" w:after="240"/>
              <w:jc w:val="left"/>
              <w:rPr>
                <w:szCs w:val="24"/>
              </w:rPr>
            </w:pPr>
            <w:r>
              <w:rPr>
                <w:szCs w:val="24"/>
              </w:rPr>
              <w:t>Междинният показател „Общо публични разходи“ в рамките на този приоритет предвижда към края на 2018 г. да са разплатени  134 826 572  евро публични разходи като резултатите към 31 декември 2018 г. показват 20,53 % изпълнени</w:t>
            </w:r>
            <w:r>
              <w:rPr>
                <w:szCs w:val="24"/>
              </w:rPr>
              <w:t>е въз основа на 27 675 636 евро изплатени разходи, основно по мярка 10 „Агроекология и климат”, мярка 4.2 „Инвестиции в преработка, маркетинг на селскостопански продукти” и мярка 4.1”Инвестиции в материални активи”.</w:t>
            </w:r>
          </w:p>
          <w:p w:rsidR="002B3815" w:rsidRDefault="0099452B" w:rsidP="0099452B">
            <w:pPr>
              <w:numPr>
                <w:ilvl w:val="0"/>
                <w:numId w:val="36"/>
              </w:numPr>
              <w:spacing w:before="240" w:after="240"/>
              <w:ind w:hanging="210"/>
              <w:jc w:val="left"/>
              <w:rPr>
                <w:szCs w:val="24"/>
              </w:rPr>
            </w:pPr>
            <w:r>
              <w:rPr>
                <w:b/>
                <w:bCs/>
                <w:szCs w:val="24"/>
              </w:rPr>
              <w:t>Шести</w:t>
            </w:r>
            <w:r>
              <w:rPr>
                <w:szCs w:val="24"/>
              </w:rPr>
              <w:t xml:space="preserve"> </w:t>
            </w:r>
            <w:r>
              <w:rPr>
                <w:b/>
                <w:bCs/>
                <w:szCs w:val="24"/>
              </w:rPr>
              <w:t xml:space="preserve">приоритет – </w:t>
            </w:r>
            <w:r>
              <w:rPr>
                <w:szCs w:val="24"/>
              </w:rPr>
              <w:t>показателите не са изп</w:t>
            </w:r>
            <w:r>
              <w:rPr>
                <w:szCs w:val="24"/>
              </w:rPr>
              <w:t>ълнени</w:t>
            </w:r>
          </w:p>
          <w:p w:rsidR="002B3815" w:rsidRDefault="0099452B">
            <w:pPr>
              <w:spacing w:before="240" w:after="240"/>
              <w:jc w:val="left"/>
              <w:rPr>
                <w:szCs w:val="24"/>
              </w:rPr>
            </w:pPr>
            <w:r>
              <w:rPr>
                <w:szCs w:val="24"/>
              </w:rPr>
              <w:t>Заложената междинна цел по отношение на индикатор „Брой операции, подпомогнати с цел подобряване на основни услуги и инфраструктура в селските райони (М 7)“ е 235 операции, като към 31.12.2018 г. е отчетено изпълнение в размер на 18.3 % на база 43 б</w:t>
            </w:r>
            <w:r>
              <w:rPr>
                <w:szCs w:val="24"/>
              </w:rPr>
              <w:t>роя операции. </w:t>
            </w:r>
          </w:p>
          <w:p w:rsidR="002B3815" w:rsidRDefault="0099452B">
            <w:pPr>
              <w:spacing w:before="240" w:after="240"/>
              <w:jc w:val="left"/>
              <w:rPr>
                <w:szCs w:val="24"/>
              </w:rPr>
            </w:pPr>
            <w:r>
              <w:rPr>
                <w:szCs w:val="24"/>
              </w:rPr>
              <w:t>За индикатор „Общо публични разходи П6 (в евро)“, предвидената цел към края на 2018 г. е в размер на 203 788 857 евро, като към 31.12.2018 г. са изплатени 13 795 628 евро, което е едва 6.77 % изпълнение на заложената цел.</w:t>
            </w:r>
          </w:p>
          <w:p w:rsidR="002B3815" w:rsidRDefault="0099452B">
            <w:pPr>
              <w:spacing w:before="240" w:after="240"/>
              <w:jc w:val="left"/>
              <w:rPr>
                <w:szCs w:val="24"/>
              </w:rPr>
            </w:pPr>
            <w:r>
              <w:rPr>
                <w:szCs w:val="24"/>
              </w:rPr>
              <w:t>Последният индикато</w:t>
            </w:r>
            <w:r>
              <w:rPr>
                <w:szCs w:val="24"/>
              </w:rPr>
              <w:t>р, който касае население обхванато от местни групи за действие в рамките на мярка 19. Заложените параметри в програмата изискват към края на 2018 г. от Подхода „Лидер” да бъдат обхванати 1 370 000 жители на територията на селските райони на страната като р</w:t>
            </w:r>
            <w:r>
              <w:rPr>
                <w:szCs w:val="24"/>
              </w:rPr>
              <w:t>езултатът към 31.12.2018 г. показва изпълнение на 120 %.</w:t>
            </w:r>
          </w:p>
          <w:p w:rsidR="002B3815" w:rsidRDefault="0099452B">
            <w:pPr>
              <w:spacing w:before="240" w:after="240"/>
              <w:jc w:val="left"/>
              <w:rPr>
                <w:szCs w:val="24"/>
              </w:rPr>
            </w:pPr>
            <w:r>
              <w:rPr>
                <w:b/>
                <w:bCs/>
                <w:szCs w:val="24"/>
              </w:rPr>
              <w:t>Причини</w:t>
            </w:r>
            <w:r>
              <w:rPr>
                <w:szCs w:val="24"/>
              </w:rPr>
              <w:t xml:space="preserve"> </w:t>
            </w:r>
            <w:r>
              <w:rPr>
                <w:b/>
                <w:bCs/>
                <w:szCs w:val="24"/>
              </w:rPr>
              <w:t>и</w:t>
            </w:r>
            <w:r>
              <w:rPr>
                <w:szCs w:val="24"/>
              </w:rPr>
              <w:t xml:space="preserve"> </w:t>
            </w:r>
            <w:r>
              <w:rPr>
                <w:b/>
                <w:bCs/>
                <w:szCs w:val="24"/>
              </w:rPr>
              <w:t>фактори, обуславящи</w:t>
            </w:r>
            <w:r>
              <w:rPr>
                <w:szCs w:val="24"/>
              </w:rPr>
              <w:t xml:space="preserve"> </w:t>
            </w:r>
            <w:r>
              <w:rPr>
                <w:b/>
                <w:bCs/>
                <w:szCs w:val="24"/>
              </w:rPr>
              <w:t>наличието</w:t>
            </w:r>
            <w:r>
              <w:rPr>
                <w:szCs w:val="24"/>
              </w:rPr>
              <w:t xml:space="preserve"> </w:t>
            </w:r>
            <w:r>
              <w:rPr>
                <w:b/>
                <w:bCs/>
                <w:szCs w:val="24"/>
              </w:rPr>
              <w:t>на</w:t>
            </w:r>
            <w:r>
              <w:rPr>
                <w:szCs w:val="24"/>
              </w:rPr>
              <w:t xml:space="preserve"> </w:t>
            </w:r>
            <w:r>
              <w:rPr>
                <w:b/>
                <w:bCs/>
                <w:szCs w:val="24"/>
              </w:rPr>
              <w:t>риск</w:t>
            </w:r>
            <w:r>
              <w:rPr>
                <w:szCs w:val="24"/>
              </w:rPr>
              <w:t xml:space="preserve"> </w:t>
            </w:r>
            <w:r>
              <w:rPr>
                <w:b/>
                <w:bCs/>
                <w:szCs w:val="24"/>
              </w:rPr>
              <w:t>от</w:t>
            </w:r>
            <w:r>
              <w:rPr>
                <w:szCs w:val="24"/>
              </w:rPr>
              <w:t xml:space="preserve"> </w:t>
            </w:r>
            <w:r>
              <w:rPr>
                <w:b/>
                <w:bCs/>
                <w:szCs w:val="24"/>
              </w:rPr>
              <w:t>неизпълнение</w:t>
            </w:r>
            <w:r>
              <w:rPr>
                <w:szCs w:val="24"/>
              </w:rPr>
              <w:t xml:space="preserve"> </w:t>
            </w:r>
            <w:r>
              <w:rPr>
                <w:b/>
                <w:bCs/>
                <w:szCs w:val="24"/>
              </w:rPr>
              <w:t>на</w:t>
            </w:r>
            <w:r>
              <w:rPr>
                <w:szCs w:val="24"/>
              </w:rPr>
              <w:t xml:space="preserve"> </w:t>
            </w:r>
            <w:r>
              <w:rPr>
                <w:b/>
                <w:bCs/>
                <w:szCs w:val="24"/>
              </w:rPr>
              <w:t>целите.</w:t>
            </w:r>
          </w:p>
          <w:p w:rsidR="002B3815" w:rsidRDefault="0099452B">
            <w:pPr>
              <w:spacing w:before="240" w:after="240"/>
              <w:jc w:val="left"/>
              <w:rPr>
                <w:szCs w:val="24"/>
              </w:rPr>
            </w:pPr>
            <w:r>
              <w:rPr>
                <w:szCs w:val="24"/>
              </w:rPr>
              <w:t>Някои от факторите, които влияят негативно върху изпълнението на приоритетите като цяло са:</w:t>
            </w:r>
          </w:p>
          <w:p w:rsidR="002B3815" w:rsidRDefault="0099452B">
            <w:pPr>
              <w:spacing w:before="240" w:after="240"/>
              <w:jc w:val="left"/>
              <w:rPr>
                <w:szCs w:val="24"/>
              </w:rPr>
            </w:pPr>
            <w:r>
              <w:rPr>
                <w:szCs w:val="24"/>
              </w:rPr>
              <w:t>А) Промени в политическата среда</w:t>
            </w:r>
            <w:r>
              <w:rPr>
                <w:szCs w:val="24"/>
              </w:rPr>
              <w:t xml:space="preserve"> и необходимост от адаптация на нуждите и гъвкавост – настъпилите неколкократни промени в изпълнителната власт в годините от началото на програмния период води до нестабилност в изпълнението и понякога до забава в предприетите действия по изпълнение на при</w:t>
            </w:r>
            <w:r>
              <w:rPr>
                <w:szCs w:val="24"/>
              </w:rPr>
              <w:t>оритетите. Дори само едно забавяне в стартирането на даден прием по мярка от Програмата, вследствие на временна политическа нестабилност отлага експоненциално във времето цялото изпълнение на даден приоритет.</w:t>
            </w:r>
          </w:p>
          <w:p w:rsidR="002B3815" w:rsidRDefault="0099452B">
            <w:pPr>
              <w:spacing w:before="240" w:after="240"/>
              <w:jc w:val="left"/>
              <w:rPr>
                <w:szCs w:val="24"/>
              </w:rPr>
            </w:pPr>
            <w:r>
              <w:rPr>
                <w:szCs w:val="24"/>
              </w:rPr>
              <w:t>Б) Забава при процедурите за избор на изпълните</w:t>
            </w:r>
            <w:r>
              <w:rPr>
                <w:szCs w:val="24"/>
              </w:rPr>
              <w:t>ли по реда на ЗОП – обжалване на решенията на възложителите по обществените поръчки, което забавя сключването на договори с изпълнителите и съответно забавя изпълнението на проектите. Това е основен проблем, който е извън възможностите за интервенция на УО</w:t>
            </w:r>
            <w:r>
              <w:rPr>
                <w:szCs w:val="24"/>
              </w:rPr>
              <w:t xml:space="preserve"> на ПРСР. Финансовото изражение е потенциална несигурност от навременно усвояване на над 600 млн. евро, разполагаеми по Мярка 7 от ПРСР – реално почти една четвърт от финансовият ресурс за целият програмен период.</w:t>
            </w:r>
          </w:p>
          <w:p w:rsidR="002B3815" w:rsidRDefault="0099452B">
            <w:pPr>
              <w:spacing w:before="240" w:after="240"/>
              <w:jc w:val="left"/>
              <w:rPr>
                <w:szCs w:val="24"/>
              </w:rPr>
            </w:pPr>
            <w:r>
              <w:rPr>
                <w:szCs w:val="24"/>
              </w:rPr>
              <w:t>В) Все още продължаваща стагнация по отнош</w:t>
            </w:r>
            <w:r>
              <w:rPr>
                <w:szCs w:val="24"/>
              </w:rPr>
              <w:t>ение на набавянето на собствено финансиране от страна на бенефициентите по ПРСР. Ключово изискване за отчитане на постигнати стойности на индикаторите е наличието на реално извършени дейности, и поне междинни плащания по проектите. Към 31.12.2018 г. постиг</w:t>
            </w:r>
            <w:r>
              <w:rPr>
                <w:szCs w:val="24"/>
              </w:rPr>
              <w:t>натите стойности на индикаторите са ниски на фона на големия брой проекти в изпълнение. След момента на сключване на договорите, УО на ПРСР и ДФЗ-РА почти не разполагат с административни ходове за съкращаване на сроковете за изпълнение – т.е. активността н</w:t>
            </w:r>
            <w:r>
              <w:rPr>
                <w:szCs w:val="24"/>
              </w:rPr>
              <w:t>а бенефициентите е от решаващо значение за навременното отчитане на постигнатите стойности на индикаторите.</w:t>
            </w:r>
          </w:p>
          <w:p w:rsidR="002B3815" w:rsidRDefault="0099452B">
            <w:pPr>
              <w:spacing w:before="240" w:after="240"/>
              <w:jc w:val="left"/>
              <w:rPr>
                <w:szCs w:val="24"/>
              </w:rPr>
            </w:pPr>
            <w:r>
              <w:rPr>
                <w:szCs w:val="24"/>
              </w:rPr>
              <w:t xml:space="preserve">Г) Предварителното условие </w:t>
            </w:r>
            <w:r>
              <w:rPr>
                <w:i/>
                <w:iCs/>
                <w:szCs w:val="24"/>
              </w:rPr>
              <w:t>„G4) Обществени</w:t>
            </w:r>
            <w:r>
              <w:rPr>
                <w:szCs w:val="24"/>
              </w:rPr>
              <w:t xml:space="preserve"> </w:t>
            </w:r>
            <w:r>
              <w:rPr>
                <w:i/>
                <w:iCs/>
                <w:szCs w:val="24"/>
              </w:rPr>
              <w:t>поръчки</w:t>
            </w:r>
            <w:r>
              <w:rPr>
                <w:szCs w:val="24"/>
              </w:rPr>
              <w:t xml:space="preserve">: </w:t>
            </w:r>
            <w:r>
              <w:rPr>
                <w:i/>
                <w:iCs/>
                <w:szCs w:val="24"/>
              </w:rPr>
              <w:t>наличие</w:t>
            </w:r>
            <w:r>
              <w:rPr>
                <w:szCs w:val="24"/>
              </w:rPr>
              <w:t xml:space="preserve"> </w:t>
            </w:r>
            <w:r>
              <w:rPr>
                <w:i/>
                <w:iCs/>
                <w:szCs w:val="24"/>
              </w:rPr>
              <w:t>на</w:t>
            </w:r>
            <w:r>
              <w:rPr>
                <w:szCs w:val="24"/>
              </w:rPr>
              <w:t xml:space="preserve"> </w:t>
            </w:r>
            <w:r>
              <w:rPr>
                <w:i/>
                <w:iCs/>
                <w:szCs w:val="24"/>
              </w:rPr>
              <w:t>уредба</w:t>
            </w:r>
            <w:r>
              <w:rPr>
                <w:szCs w:val="24"/>
              </w:rPr>
              <w:t xml:space="preserve"> </w:t>
            </w:r>
            <w:r>
              <w:rPr>
                <w:i/>
                <w:iCs/>
                <w:szCs w:val="24"/>
              </w:rPr>
              <w:t>за</w:t>
            </w:r>
            <w:r>
              <w:rPr>
                <w:szCs w:val="24"/>
              </w:rPr>
              <w:t xml:space="preserve"> </w:t>
            </w:r>
            <w:r>
              <w:rPr>
                <w:i/>
                <w:iCs/>
                <w:szCs w:val="24"/>
              </w:rPr>
              <w:t>ефективното</w:t>
            </w:r>
            <w:r>
              <w:rPr>
                <w:szCs w:val="24"/>
              </w:rPr>
              <w:t xml:space="preserve"> </w:t>
            </w:r>
            <w:r>
              <w:rPr>
                <w:i/>
                <w:iCs/>
                <w:szCs w:val="24"/>
              </w:rPr>
              <w:t>прилагане</w:t>
            </w:r>
            <w:r>
              <w:rPr>
                <w:szCs w:val="24"/>
              </w:rPr>
              <w:t xml:space="preserve"> </w:t>
            </w:r>
            <w:r>
              <w:rPr>
                <w:i/>
                <w:iCs/>
                <w:szCs w:val="24"/>
              </w:rPr>
              <w:t>на</w:t>
            </w:r>
            <w:r>
              <w:rPr>
                <w:szCs w:val="24"/>
              </w:rPr>
              <w:t xml:space="preserve"> </w:t>
            </w:r>
            <w:r>
              <w:rPr>
                <w:i/>
                <w:iCs/>
                <w:szCs w:val="24"/>
              </w:rPr>
              <w:t>законодателството</w:t>
            </w:r>
            <w:r>
              <w:rPr>
                <w:szCs w:val="24"/>
              </w:rPr>
              <w:t xml:space="preserve"> </w:t>
            </w:r>
            <w:r>
              <w:rPr>
                <w:i/>
                <w:iCs/>
                <w:szCs w:val="24"/>
              </w:rPr>
              <w:t>на</w:t>
            </w:r>
            <w:r>
              <w:rPr>
                <w:szCs w:val="24"/>
              </w:rPr>
              <w:t xml:space="preserve"> </w:t>
            </w:r>
            <w:r>
              <w:rPr>
                <w:i/>
                <w:iCs/>
                <w:szCs w:val="24"/>
              </w:rPr>
              <w:t>Съюза</w:t>
            </w:r>
            <w:r>
              <w:rPr>
                <w:szCs w:val="24"/>
              </w:rPr>
              <w:t xml:space="preserve"> </w:t>
            </w:r>
            <w:r>
              <w:rPr>
                <w:i/>
                <w:iCs/>
                <w:szCs w:val="24"/>
              </w:rPr>
              <w:t>за</w:t>
            </w:r>
            <w:r>
              <w:rPr>
                <w:szCs w:val="24"/>
              </w:rPr>
              <w:t xml:space="preserve"> </w:t>
            </w:r>
            <w:r>
              <w:rPr>
                <w:i/>
                <w:iCs/>
                <w:szCs w:val="24"/>
              </w:rPr>
              <w:t>обществените</w:t>
            </w:r>
            <w:r>
              <w:rPr>
                <w:szCs w:val="24"/>
              </w:rPr>
              <w:t xml:space="preserve"> </w:t>
            </w:r>
            <w:r>
              <w:rPr>
                <w:i/>
                <w:iCs/>
                <w:szCs w:val="24"/>
              </w:rPr>
              <w:t>поръчки</w:t>
            </w:r>
            <w:r>
              <w:rPr>
                <w:szCs w:val="24"/>
              </w:rPr>
              <w:t xml:space="preserve"> </w:t>
            </w:r>
            <w:r>
              <w:rPr>
                <w:i/>
                <w:iCs/>
                <w:szCs w:val="24"/>
              </w:rPr>
              <w:t>в</w:t>
            </w:r>
            <w:r>
              <w:rPr>
                <w:szCs w:val="24"/>
              </w:rPr>
              <w:t xml:space="preserve"> </w:t>
            </w:r>
            <w:r>
              <w:rPr>
                <w:i/>
                <w:iCs/>
                <w:szCs w:val="24"/>
              </w:rPr>
              <w:t>областта</w:t>
            </w:r>
            <w:r>
              <w:rPr>
                <w:szCs w:val="24"/>
              </w:rPr>
              <w:t xml:space="preserve"> </w:t>
            </w:r>
            <w:r>
              <w:rPr>
                <w:i/>
                <w:iCs/>
                <w:szCs w:val="24"/>
              </w:rPr>
              <w:t>на</w:t>
            </w:r>
            <w:r>
              <w:rPr>
                <w:szCs w:val="24"/>
              </w:rPr>
              <w:t xml:space="preserve"> </w:t>
            </w:r>
            <w:r>
              <w:rPr>
                <w:i/>
                <w:iCs/>
                <w:szCs w:val="24"/>
              </w:rPr>
              <w:t>европейските</w:t>
            </w:r>
            <w:r>
              <w:rPr>
                <w:szCs w:val="24"/>
              </w:rPr>
              <w:t xml:space="preserve"> </w:t>
            </w:r>
            <w:r>
              <w:rPr>
                <w:i/>
                <w:iCs/>
                <w:szCs w:val="24"/>
              </w:rPr>
              <w:t>структурни</w:t>
            </w:r>
            <w:r>
              <w:rPr>
                <w:szCs w:val="24"/>
              </w:rPr>
              <w:t xml:space="preserve"> </w:t>
            </w:r>
            <w:r>
              <w:rPr>
                <w:i/>
                <w:iCs/>
                <w:szCs w:val="24"/>
              </w:rPr>
              <w:t>и</w:t>
            </w:r>
            <w:r>
              <w:rPr>
                <w:szCs w:val="24"/>
              </w:rPr>
              <w:t xml:space="preserve"> </w:t>
            </w:r>
            <w:r>
              <w:rPr>
                <w:i/>
                <w:iCs/>
                <w:szCs w:val="24"/>
              </w:rPr>
              <w:t>инвестиционни</w:t>
            </w:r>
            <w:r>
              <w:rPr>
                <w:szCs w:val="24"/>
              </w:rPr>
              <w:t xml:space="preserve"> </w:t>
            </w:r>
            <w:r>
              <w:rPr>
                <w:i/>
                <w:iCs/>
                <w:szCs w:val="24"/>
              </w:rPr>
              <w:t>фондове“</w:t>
            </w:r>
            <w:r>
              <w:rPr>
                <w:szCs w:val="24"/>
              </w:rPr>
              <w:t xml:space="preserve"> не е изпълнено към момента на одобрение на ПРСР 2014 – 2020, и това възпрепятства своевременно обявяване на прием, по който кандидатите са възложители по реда на ЗОП за избор на изпълнители по</w:t>
            </w:r>
            <w:r>
              <w:rPr>
                <w:szCs w:val="24"/>
              </w:rPr>
              <w:t xml:space="preserve"> проектите си.</w:t>
            </w:r>
          </w:p>
          <w:p w:rsidR="002B3815" w:rsidRDefault="0099452B">
            <w:pPr>
              <w:spacing w:before="240" w:after="240"/>
              <w:jc w:val="left"/>
              <w:rPr>
                <w:szCs w:val="24"/>
              </w:rPr>
            </w:pPr>
            <w:r>
              <w:rPr>
                <w:szCs w:val="24"/>
              </w:rPr>
              <w:t>Предвид забавеният старт на ПРСР, очакванията са до края на 2019 г. всички индикатори от Рамката за изпълнение да бъдат постигнати на ниво междинни цели 2018 г., тъй като стартиралите вече мерки и процедури, на етап договаряне покриват изцял</w:t>
            </w:r>
            <w:r>
              <w:rPr>
                <w:szCs w:val="24"/>
              </w:rPr>
              <w:t>о количествено изразените цели.</w:t>
            </w:r>
          </w:p>
          <w:p w:rsidR="002B3815" w:rsidRDefault="0099452B">
            <w:pPr>
              <w:spacing w:before="240" w:after="240"/>
              <w:jc w:val="left"/>
              <w:rPr>
                <w:szCs w:val="24"/>
              </w:rPr>
            </w:pPr>
            <w:r>
              <w:rPr>
                <w:b/>
                <w:bCs/>
                <w:szCs w:val="24"/>
              </w:rPr>
              <w:t xml:space="preserve">Таблица 1: </w:t>
            </w:r>
            <w:r>
              <w:rPr>
                <w:b/>
                <w:bCs/>
                <w:i/>
                <w:iCs/>
                <w:szCs w:val="24"/>
              </w:rPr>
              <w:t>Изпълнение</w:t>
            </w:r>
            <w:r>
              <w:rPr>
                <w:szCs w:val="24"/>
              </w:rPr>
              <w:t xml:space="preserve"> </w:t>
            </w:r>
            <w:r>
              <w:rPr>
                <w:b/>
                <w:bCs/>
                <w:i/>
                <w:iCs/>
                <w:szCs w:val="24"/>
              </w:rPr>
              <w:t>на</w:t>
            </w:r>
            <w:r>
              <w:rPr>
                <w:szCs w:val="24"/>
              </w:rPr>
              <w:t xml:space="preserve"> </w:t>
            </w:r>
            <w:r>
              <w:rPr>
                <w:b/>
                <w:bCs/>
                <w:i/>
                <w:iCs/>
                <w:szCs w:val="24"/>
              </w:rPr>
              <w:t>целите</w:t>
            </w:r>
            <w:r>
              <w:rPr>
                <w:szCs w:val="24"/>
              </w:rPr>
              <w:t xml:space="preserve"> </w:t>
            </w:r>
            <w:r>
              <w:rPr>
                <w:b/>
                <w:bCs/>
                <w:i/>
                <w:iCs/>
                <w:szCs w:val="24"/>
              </w:rPr>
              <w:t>от</w:t>
            </w:r>
            <w:r>
              <w:rPr>
                <w:szCs w:val="24"/>
              </w:rPr>
              <w:t xml:space="preserve"> </w:t>
            </w:r>
            <w:r>
              <w:rPr>
                <w:b/>
                <w:bCs/>
                <w:i/>
                <w:iCs/>
                <w:szCs w:val="24"/>
              </w:rPr>
              <w:t>Рамката</w:t>
            </w:r>
            <w:r>
              <w:rPr>
                <w:szCs w:val="24"/>
              </w:rPr>
              <w:t xml:space="preserve"> </w:t>
            </w:r>
            <w:r>
              <w:rPr>
                <w:b/>
                <w:bCs/>
                <w:i/>
                <w:iCs/>
                <w:szCs w:val="24"/>
              </w:rPr>
              <w:t>на</w:t>
            </w:r>
            <w:r>
              <w:rPr>
                <w:szCs w:val="24"/>
              </w:rPr>
              <w:t xml:space="preserve"> </w:t>
            </w:r>
            <w:r>
              <w:rPr>
                <w:b/>
                <w:bCs/>
                <w:i/>
                <w:iCs/>
                <w:szCs w:val="24"/>
              </w:rPr>
              <w:t>изпълнението</w:t>
            </w:r>
            <w:r>
              <w:rPr>
                <w:szCs w:val="24"/>
              </w:rPr>
              <w:t xml:space="preserve"> </w:t>
            </w:r>
            <w:r>
              <w:rPr>
                <w:b/>
                <w:bCs/>
                <w:i/>
                <w:iCs/>
                <w:szCs w:val="24"/>
              </w:rPr>
              <w:t>към 31.12.2018</w:t>
            </w:r>
            <w:r>
              <w:rPr>
                <w:szCs w:val="24"/>
              </w:rPr>
              <w:t xml:space="preserve"> </w:t>
            </w:r>
            <w:r>
              <w:rPr>
                <w:b/>
                <w:bCs/>
                <w:i/>
                <w:iCs/>
                <w:szCs w:val="24"/>
              </w:rPr>
              <w:t>г.</w:t>
            </w:r>
          </w:p>
          <w:p w:rsidR="002B3815" w:rsidRDefault="0099452B">
            <w:pPr>
              <w:spacing w:before="240" w:after="240"/>
              <w:jc w:val="left"/>
              <w:rPr>
                <w:szCs w:val="24"/>
              </w:rPr>
            </w:pPr>
            <w:r>
              <w:rPr>
                <w:b/>
                <w:bCs/>
                <w:szCs w:val="24"/>
                <w:u w:val="single"/>
              </w:rPr>
              <w:t>ПЛАН ЗА ДЕЙСТВИЕ ЗА ИЗПЪЛНЕНИЕТО НА РАМКАТА </w:t>
            </w:r>
          </w:p>
          <w:p w:rsidR="002B3815" w:rsidRDefault="0099452B" w:rsidP="0099452B">
            <w:pPr>
              <w:numPr>
                <w:ilvl w:val="0"/>
                <w:numId w:val="37"/>
              </w:numPr>
              <w:spacing w:before="240" w:after="240"/>
              <w:ind w:hanging="280"/>
              <w:jc w:val="left"/>
              <w:rPr>
                <w:szCs w:val="24"/>
              </w:rPr>
            </w:pPr>
            <w:r>
              <w:rPr>
                <w:b/>
                <w:bCs/>
                <w:i/>
                <w:iCs/>
                <w:szCs w:val="24"/>
              </w:rPr>
              <w:t>ТРЕТИ ПРИОРИТЕТ</w:t>
            </w:r>
          </w:p>
          <w:p w:rsidR="002B3815" w:rsidRDefault="0099452B">
            <w:pPr>
              <w:spacing w:before="240" w:after="240"/>
              <w:jc w:val="left"/>
              <w:rPr>
                <w:szCs w:val="24"/>
              </w:rPr>
            </w:pPr>
            <w:r>
              <w:rPr>
                <w:b/>
                <w:bCs/>
                <w:szCs w:val="24"/>
              </w:rPr>
              <w:t>Предприети действия от УО на ПРСР за минимизиране на риска:</w:t>
            </w:r>
          </w:p>
          <w:p w:rsidR="002B3815" w:rsidRDefault="0099452B" w:rsidP="0099452B">
            <w:pPr>
              <w:numPr>
                <w:ilvl w:val="0"/>
                <w:numId w:val="38"/>
              </w:numPr>
              <w:spacing w:before="240" w:after="240"/>
              <w:ind w:hanging="210"/>
              <w:jc w:val="left"/>
              <w:rPr>
                <w:szCs w:val="24"/>
              </w:rPr>
            </w:pPr>
            <w:r>
              <w:rPr>
                <w:b/>
                <w:bCs/>
                <w:szCs w:val="24"/>
              </w:rPr>
              <w:t xml:space="preserve">Стартиране на Мярка 14 </w:t>
            </w:r>
            <w:r>
              <w:rPr>
                <w:b/>
                <w:bCs/>
                <w:szCs w:val="24"/>
              </w:rPr>
              <w:t>„Хуманно отношение към животните“</w:t>
            </w:r>
          </w:p>
          <w:p w:rsidR="002B3815" w:rsidRDefault="0099452B">
            <w:pPr>
              <w:spacing w:before="240" w:after="240"/>
              <w:jc w:val="left"/>
              <w:rPr>
                <w:szCs w:val="24"/>
              </w:rPr>
            </w:pPr>
            <w:r>
              <w:rPr>
                <w:szCs w:val="24"/>
              </w:rPr>
              <w:t>        Всички действия във възможностите на УО на ПРСР са предприети - мярката е стартирана още през м. септември 2017 г., като се очаква да допринася предимно към изпълнението на финансовият показател. Към настоящия моме</w:t>
            </w:r>
            <w:r>
              <w:rPr>
                <w:szCs w:val="24"/>
              </w:rPr>
              <w:t>нт постъпилите заявления за подпомагане са обработени от ДФЗ – РА, като до края на 2018 г. бяха извършени плащания по мярката.</w:t>
            </w:r>
          </w:p>
          <w:p w:rsidR="002B3815" w:rsidRDefault="0099452B" w:rsidP="0099452B">
            <w:pPr>
              <w:numPr>
                <w:ilvl w:val="0"/>
                <w:numId w:val="39"/>
              </w:numPr>
              <w:spacing w:before="240" w:after="240"/>
              <w:ind w:hanging="210"/>
              <w:jc w:val="left"/>
              <w:rPr>
                <w:szCs w:val="24"/>
              </w:rPr>
            </w:pPr>
            <w:r>
              <w:rPr>
                <w:b/>
                <w:bCs/>
                <w:szCs w:val="24"/>
              </w:rPr>
              <w:t>Стартиране на Мярка 9 „Учредяване на групи и организации на производителите“.</w:t>
            </w:r>
            <w:r>
              <w:rPr>
                <w:szCs w:val="24"/>
              </w:rPr>
              <w:t xml:space="preserve">  </w:t>
            </w:r>
          </w:p>
          <w:p w:rsidR="002B3815" w:rsidRDefault="0099452B">
            <w:pPr>
              <w:spacing w:before="240" w:after="240"/>
              <w:jc w:val="left"/>
              <w:rPr>
                <w:szCs w:val="24"/>
              </w:rPr>
            </w:pPr>
            <w:r>
              <w:rPr>
                <w:szCs w:val="24"/>
              </w:rPr>
              <w:t xml:space="preserve">През 2017 г. са признати 23 групи и организации </w:t>
            </w:r>
            <w:r>
              <w:rPr>
                <w:szCs w:val="24"/>
              </w:rPr>
              <w:t>на производители, а през  2018 г. са признати 27 групи и организации на производители, като всички тези групи са потенциални участници в подпомагането по мярка 9.</w:t>
            </w:r>
          </w:p>
          <w:p w:rsidR="002B3815" w:rsidRDefault="0099452B">
            <w:pPr>
              <w:spacing w:before="240" w:after="240"/>
              <w:jc w:val="left"/>
              <w:rPr>
                <w:szCs w:val="24"/>
              </w:rPr>
            </w:pPr>
            <w:r>
              <w:rPr>
                <w:szCs w:val="24"/>
              </w:rPr>
              <w:t>Усилията на Управляващият орган за популяризиране на мярката доведоха до положителен резултат</w:t>
            </w:r>
            <w:r>
              <w:rPr>
                <w:szCs w:val="24"/>
              </w:rPr>
              <w:t>. В периода на прием бяха подадени 38 бр. проектни предложения.  Общия брой на земеделските производители,  членуващи в тези групи и организации на производители е 406 броя, което значително надхвърля планирана  междинна стойност на индикатора от 90 земеде</w:t>
            </w:r>
            <w:r>
              <w:rPr>
                <w:szCs w:val="24"/>
              </w:rPr>
              <w:t>лски стопанства.</w:t>
            </w:r>
          </w:p>
          <w:p w:rsidR="002B3815" w:rsidRDefault="0099452B">
            <w:pPr>
              <w:spacing w:before="240" w:after="240"/>
              <w:jc w:val="left"/>
              <w:rPr>
                <w:szCs w:val="24"/>
              </w:rPr>
            </w:pPr>
            <w:r>
              <w:rPr>
                <w:szCs w:val="24"/>
              </w:rPr>
              <w:t>        Към настоящия момент са налични сключени договори по подадените проектни предложения, което позволи своевременно изплащане на помощта на признати през 2018 г. групи и организации. От своя страна изплащането на помощта към някои одо</w:t>
            </w:r>
            <w:r>
              <w:rPr>
                <w:szCs w:val="24"/>
              </w:rPr>
              <w:t>брени организации допринесе за изпълнение индикатора „</w:t>
            </w:r>
            <w:r>
              <w:rPr>
                <w:b/>
                <w:bCs/>
                <w:i/>
                <w:iCs/>
                <w:szCs w:val="24"/>
              </w:rPr>
              <w:t>Брой на земеделските стопанства, получаващи подпомагане по схеми за качество, за местни пазари/ къси вериги на доставки и групи на производителите</w:t>
            </w:r>
            <w:r>
              <w:rPr>
                <w:szCs w:val="24"/>
              </w:rPr>
              <w:t>“.</w:t>
            </w:r>
          </w:p>
          <w:p w:rsidR="002B3815" w:rsidRDefault="0099452B" w:rsidP="0099452B">
            <w:pPr>
              <w:numPr>
                <w:ilvl w:val="0"/>
                <w:numId w:val="40"/>
              </w:numPr>
              <w:spacing w:before="240" w:after="240"/>
              <w:ind w:hanging="210"/>
              <w:jc w:val="left"/>
              <w:rPr>
                <w:szCs w:val="24"/>
              </w:rPr>
            </w:pPr>
            <w:r>
              <w:rPr>
                <w:b/>
                <w:bCs/>
                <w:szCs w:val="24"/>
              </w:rPr>
              <w:t>Подготвено и изпратено 4-то изменение на ПРСР 2014-20</w:t>
            </w:r>
            <w:r>
              <w:rPr>
                <w:b/>
                <w:bCs/>
                <w:szCs w:val="24"/>
              </w:rPr>
              <w:t>20</w:t>
            </w:r>
          </w:p>
          <w:p w:rsidR="002B3815" w:rsidRDefault="0099452B">
            <w:pPr>
              <w:spacing w:before="240" w:after="240"/>
              <w:jc w:val="left"/>
              <w:rPr>
                <w:szCs w:val="24"/>
              </w:rPr>
            </w:pPr>
            <w:r>
              <w:rPr>
                <w:szCs w:val="24"/>
              </w:rPr>
              <w:t>        С одобреното 4-то изменение на Програмата се прехвърлят средства от подмярка 4.3 към подмярка 4.2 с цел да се компенсира недостига на финансови средства за постигане на заложената междинна стойност на индикатора „</w:t>
            </w:r>
            <w:r>
              <w:rPr>
                <w:b/>
                <w:bCs/>
                <w:i/>
                <w:iCs/>
                <w:szCs w:val="24"/>
              </w:rPr>
              <w:t>Брой операции  подпомогнати по M</w:t>
            </w:r>
            <w:r>
              <w:rPr>
                <w:b/>
                <w:bCs/>
                <w:i/>
                <w:iCs/>
                <w:szCs w:val="24"/>
              </w:rPr>
              <w:t>4 "Инвестиции във физически активи</w:t>
            </w:r>
            <w:r>
              <w:rPr>
                <w:szCs w:val="24"/>
              </w:rPr>
              <w:t xml:space="preserve">" </w:t>
            </w:r>
            <w:r>
              <w:rPr>
                <w:b/>
                <w:bCs/>
                <w:i/>
                <w:iCs/>
                <w:szCs w:val="24"/>
              </w:rPr>
              <w:t>за преработка и маркетинг на земеделска продукция.</w:t>
            </w:r>
          </w:p>
          <w:p w:rsidR="002B3815" w:rsidRDefault="0099452B">
            <w:pPr>
              <w:spacing w:before="240" w:after="240"/>
              <w:jc w:val="left"/>
              <w:rPr>
                <w:szCs w:val="24"/>
              </w:rPr>
            </w:pPr>
            <w:r>
              <w:rPr>
                <w:szCs w:val="24"/>
              </w:rPr>
              <w:t>В резултат от предприетите мерки се забелязва постигнат значителен напредък в изпълнение на индикатора „</w:t>
            </w:r>
            <w:r>
              <w:rPr>
                <w:b/>
                <w:bCs/>
                <w:i/>
                <w:iCs/>
                <w:szCs w:val="24"/>
              </w:rPr>
              <w:t>Брой операции, подпомогнати по М4 „Инвестиции във физически актив</w:t>
            </w:r>
            <w:r>
              <w:rPr>
                <w:b/>
                <w:bCs/>
                <w:i/>
                <w:iCs/>
                <w:szCs w:val="24"/>
              </w:rPr>
              <w:t>и за преработка и маркетинг на земеделска продукция“</w:t>
            </w:r>
            <w:r>
              <w:rPr>
                <w:szCs w:val="24"/>
              </w:rPr>
              <w:t>. Към края на 2017 г. постигнатата стойност е 10%, а към 31 декември 2018 г. стойността на индикатора е с положителен резултат (над 65%), и надхвърляне на рисковите стойности до края на 2018 г. </w:t>
            </w:r>
          </w:p>
          <w:p w:rsidR="002B3815" w:rsidRDefault="0099452B">
            <w:pPr>
              <w:spacing w:before="240" w:after="240"/>
              <w:jc w:val="left"/>
              <w:rPr>
                <w:szCs w:val="24"/>
              </w:rPr>
            </w:pPr>
            <w:r>
              <w:rPr>
                <w:szCs w:val="24"/>
              </w:rPr>
              <w:t>На база п</w:t>
            </w:r>
            <w:r>
              <w:rPr>
                <w:szCs w:val="24"/>
              </w:rPr>
              <w:t>редварителни данни, УО на ПРСР счита, средствата от междинните плащания за приоритет 3 няма да бъдат блокирани, поради елиминиране на рисковете по два от трите индикатора, и изпълнение на междинните стойности на Рамката за изпълнение. Все пак има риск от п</w:t>
            </w:r>
            <w:r>
              <w:rPr>
                <w:szCs w:val="24"/>
              </w:rPr>
              <w:t>рехвърляне на средствата от резерва (16 462 777 евро от ЕЗФРСР), ако финансовият показател не достигне 75% .</w:t>
            </w:r>
          </w:p>
          <w:p w:rsidR="002B3815" w:rsidRDefault="0099452B" w:rsidP="0099452B">
            <w:pPr>
              <w:numPr>
                <w:ilvl w:val="0"/>
                <w:numId w:val="41"/>
              </w:numPr>
              <w:spacing w:before="240" w:after="240"/>
              <w:ind w:hanging="280"/>
              <w:jc w:val="left"/>
              <w:rPr>
                <w:szCs w:val="24"/>
              </w:rPr>
            </w:pPr>
            <w:r>
              <w:rPr>
                <w:b/>
                <w:bCs/>
                <w:i/>
                <w:iCs/>
                <w:szCs w:val="24"/>
              </w:rPr>
              <w:t>ПЕТИ ПРИОРИТЕТ</w:t>
            </w:r>
          </w:p>
          <w:p w:rsidR="002B3815" w:rsidRDefault="0099452B">
            <w:pPr>
              <w:spacing w:before="240" w:after="240"/>
              <w:jc w:val="left"/>
              <w:rPr>
                <w:szCs w:val="24"/>
              </w:rPr>
            </w:pPr>
            <w:r>
              <w:rPr>
                <w:b/>
                <w:bCs/>
                <w:szCs w:val="24"/>
              </w:rPr>
              <w:t>Предприети действия от УО на ПРСР за минимизиране на риска:</w:t>
            </w:r>
          </w:p>
          <w:p w:rsidR="002B3815" w:rsidRDefault="0099452B" w:rsidP="0099452B">
            <w:pPr>
              <w:numPr>
                <w:ilvl w:val="0"/>
                <w:numId w:val="42"/>
              </w:numPr>
              <w:spacing w:before="240" w:after="240"/>
              <w:ind w:hanging="210"/>
              <w:jc w:val="left"/>
              <w:rPr>
                <w:szCs w:val="24"/>
              </w:rPr>
            </w:pPr>
            <w:r>
              <w:rPr>
                <w:b/>
                <w:bCs/>
                <w:szCs w:val="24"/>
              </w:rPr>
              <w:t>Прецизиране на методиката за отнасяне на приноса на проектите по мярка 4</w:t>
            </w:r>
            <w:r>
              <w:rPr>
                <w:b/>
                <w:bCs/>
                <w:szCs w:val="24"/>
              </w:rPr>
              <w:t xml:space="preserve"> към повече от една фокус област в съответствие с интервенционната логика на Програмата и детайлен преглед на всички проектни предложения</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В рамките на проведената двустранна среща между представители на УО на ПРСР и представители на службите на Е</w:t>
            </w:r>
            <w:r>
              <w:rPr>
                <w:szCs w:val="24"/>
              </w:rPr>
              <w:t>К на 19.7.2018 г. в гр. Брюксел, Белгия, е  подложен на обсъждане подхода при отнасяне на проекти или отделни разходи, като част от одобрени проекти, към областите с поставен акцент, включително фокус област 5Б.</w:t>
            </w:r>
          </w:p>
          <w:p w:rsidR="002B3815" w:rsidRDefault="0099452B">
            <w:pPr>
              <w:spacing w:before="240" w:after="240"/>
              <w:jc w:val="left"/>
              <w:rPr>
                <w:szCs w:val="24"/>
              </w:rPr>
            </w:pPr>
            <w:r>
              <w:rPr>
                <w:szCs w:val="24"/>
              </w:rPr>
              <w:t>В резултат на проведената дискусия се извърш</w:t>
            </w:r>
            <w:r>
              <w:rPr>
                <w:szCs w:val="24"/>
              </w:rPr>
              <w:t>ва внимателен анализ на одобрените проектни предложения по подмярка 4.1, по които не са извършвани междинни или окончателни плащания. Обследват се в детайли данните във всеки проект на ниво конкретни разходи. Като обективен критерий се използват разходите,</w:t>
            </w:r>
            <w:r>
              <w:rPr>
                <w:szCs w:val="24"/>
              </w:rPr>
              <w:t xml:space="preserve"> допринасящи за повишаване на енeргийната ефективност, които са посочени в изготвения от правоспособно лицензирано лице доклад за енергийно обследване на стопанството.</w:t>
            </w:r>
          </w:p>
          <w:p w:rsidR="002B3815" w:rsidRDefault="0099452B">
            <w:pPr>
              <w:spacing w:before="240" w:after="240"/>
              <w:jc w:val="left"/>
              <w:rPr>
                <w:szCs w:val="24"/>
              </w:rPr>
            </w:pPr>
            <w:r>
              <w:rPr>
                <w:szCs w:val="24"/>
              </w:rPr>
              <w:t>Все още тече оценка и на проектите, които биха могли да отговарят на изискванията и тълк</w:t>
            </w:r>
            <w:r>
              <w:rPr>
                <w:szCs w:val="24"/>
              </w:rPr>
              <w:t>уването на ЕК за „Стартирала операция“, като след приключване на процеса ще стане ясно дали индикаторът за брой подпомогнати операции е изпълнен. Също така, по отношение на финансовият индикатор се планира да бъде взето предвид и тълкуванието на ЕК, според</w:t>
            </w:r>
            <w:r>
              <w:rPr>
                <w:szCs w:val="24"/>
              </w:rPr>
              <w:t xml:space="preserve"> което за изчисляване на показателите за финансово изпълнение в годишния доклад за изпълнението през 2019 г. могат да бъдат отчетени заявките за плащане, подадени през 2019 г., съответстващи на разходите, направени и платени от бенефициерите през 2018 г.</w:t>
            </w:r>
          </w:p>
          <w:p w:rsidR="002B3815" w:rsidRDefault="0099452B">
            <w:pPr>
              <w:spacing w:before="240" w:after="240"/>
              <w:jc w:val="left"/>
              <w:rPr>
                <w:szCs w:val="24"/>
              </w:rPr>
            </w:pPr>
            <w:r>
              <w:rPr>
                <w:szCs w:val="24"/>
              </w:rPr>
              <w:t>С</w:t>
            </w:r>
            <w:r>
              <w:rPr>
                <w:szCs w:val="24"/>
              </w:rPr>
              <w:t xml:space="preserve"> изпълнението на този индикатор рискът от сериозно неизпълнение на приоритет 5 би бил преодолян, тъй като другият индикатор по приоритет 5 „</w:t>
            </w:r>
            <w:r>
              <w:rPr>
                <w:b/>
                <w:bCs/>
                <w:i/>
                <w:iCs/>
                <w:szCs w:val="24"/>
              </w:rPr>
              <w:t>Земеделски и горски земи под управление с цел намаляване на емисиите на парникови газове, въглерод и/или на амоняк и</w:t>
            </w:r>
            <w:r>
              <w:rPr>
                <w:b/>
                <w:bCs/>
                <w:i/>
                <w:iCs/>
                <w:szCs w:val="24"/>
              </w:rPr>
              <w:t xml:space="preserve"> площи, преминаващи към по-ефективни напоителни системи“ </w:t>
            </w:r>
            <w:r>
              <w:rPr>
                <w:szCs w:val="24"/>
              </w:rPr>
              <w:t>вече е изпълнен.</w:t>
            </w:r>
          </w:p>
          <w:p w:rsidR="002B3815" w:rsidRDefault="0099452B" w:rsidP="0099452B">
            <w:pPr>
              <w:numPr>
                <w:ilvl w:val="0"/>
                <w:numId w:val="43"/>
              </w:numPr>
              <w:spacing w:before="240" w:after="240"/>
              <w:ind w:hanging="210"/>
              <w:jc w:val="left"/>
              <w:rPr>
                <w:szCs w:val="24"/>
              </w:rPr>
            </w:pPr>
            <w:r>
              <w:rPr>
                <w:b/>
                <w:bCs/>
                <w:szCs w:val="24"/>
              </w:rPr>
              <w:t>Мерки за ускоряване на изпълнението на проектите</w:t>
            </w:r>
          </w:p>
          <w:p w:rsidR="002B3815" w:rsidRDefault="0099452B">
            <w:pPr>
              <w:spacing w:before="240" w:after="240"/>
              <w:jc w:val="left"/>
              <w:rPr>
                <w:szCs w:val="24"/>
              </w:rPr>
            </w:pPr>
            <w:r>
              <w:rPr>
                <w:szCs w:val="24"/>
              </w:rPr>
              <w:t>            С цел да се преодолее забавянето в изпълнението на одобрените проекти, в договорите с бенефициентите е включена клауза, о</w:t>
            </w:r>
            <w:r>
              <w:rPr>
                <w:szCs w:val="24"/>
              </w:rPr>
              <w:t>сигуряваща техния навременен старт. Съгласно въведената клауза, бенефициентът трябва да стартира изпълнението на проекта си до една година от подписването на договора и да представи необходимите документи пред РА, доказващи започване на изпълнението на про</w:t>
            </w:r>
            <w:r>
              <w:rPr>
                <w:szCs w:val="24"/>
              </w:rPr>
              <w:t>екта.</w:t>
            </w:r>
          </w:p>
          <w:p w:rsidR="002B3815" w:rsidRDefault="0099452B">
            <w:pPr>
              <w:spacing w:before="240" w:after="240"/>
              <w:jc w:val="left"/>
              <w:rPr>
                <w:szCs w:val="24"/>
              </w:rPr>
            </w:pPr>
            <w:r>
              <w:rPr>
                <w:szCs w:val="24"/>
              </w:rPr>
              <w:t>Към момента УО на ПРСР счита, че резервът за приоритет 5 (18 332 239 евро от ЕЗФРСР) ще бъде прехвърлен към друг приоритет, изпълнил междинните си цели.</w:t>
            </w:r>
          </w:p>
          <w:p w:rsidR="002B3815" w:rsidRDefault="0099452B">
            <w:pPr>
              <w:spacing w:before="240" w:after="240"/>
              <w:jc w:val="left"/>
              <w:rPr>
                <w:szCs w:val="24"/>
              </w:rPr>
            </w:pPr>
            <w:r>
              <w:rPr>
                <w:b/>
                <w:bCs/>
                <w:i/>
                <w:iCs/>
                <w:szCs w:val="24"/>
              </w:rPr>
              <w:t>3.    ШЕСТИ ПРИОРИТЕТ</w:t>
            </w:r>
          </w:p>
          <w:p w:rsidR="002B3815" w:rsidRDefault="0099452B">
            <w:pPr>
              <w:spacing w:before="240" w:after="240"/>
              <w:jc w:val="left"/>
              <w:rPr>
                <w:szCs w:val="24"/>
              </w:rPr>
            </w:pPr>
            <w:r>
              <w:rPr>
                <w:b/>
                <w:bCs/>
                <w:szCs w:val="24"/>
              </w:rPr>
              <w:t>Предприети действия от УО на ПРСР за минимизиране на риска:</w:t>
            </w:r>
          </w:p>
          <w:p w:rsidR="002B3815" w:rsidRDefault="0099452B">
            <w:pPr>
              <w:spacing w:before="240" w:after="240"/>
              <w:jc w:val="left"/>
              <w:rPr>
                <w:szCs w:val="24"/>
              </w:rPr>
            </w:pPr>
            <w:r>
              <w:rPr>
                <w:szCs w:val="24"/>
              </w:rPr>
              <w:t>Във връзка с по</w:t>
            </w:r>
            <w:r>
              <w:rPr>
                <w:szCs w:val="24"/>
              </w:rPr>
              <w:t>стигане целите на Приоритет 6 от ПРСР 2014-2020, свързани с Мярка 7, от страна на българските власти бяха предприети стъпки в няколко основни направления под формата на План за действие:</w:t>
            </w:r>
          </w:p>
          <w:p w:rsidR="002B3815" w:rsidRDefault="0099452B" w:rsidP="0099452B">
            <w:pPr>
              <w:numPr>
                <w:ilvl w:val="0"/>
                <w:numId w:val="44"/>
              </w:numPr>
              <w:spacing w:before="240" w:after="240"/>
              <w:ind w:hanging="210"/>
              <w:jc w:val="left"/>
              <w:rPr>
                <w:szCs w:val="24"/>
              </w:rPr>
            </w:pPr>
            <w:r>
              <w:rPr>
                <w:b/>
                <w:bCs/>
                <w:szCs w:val="24"/>
              </w:rPr>
              <w:t>Оптимизиране на сроковете за обработка на документацията по проектнит</w:t>
            </w:r>
            <w:r>
              <w:rPr>
                <w:b/>
                <w:bCs/>
                <w:szCs w:val="24"/>
              </w:rPr>
              <w:t>е предложения от страна на ДФ „Земеделие“ – Разплащателна агенция</w:t>
            </w:r>
          </w:p>
          <w:p w:rsidR="002B3815" w:rsidRDefault="0099452B">
            <w:pPr>
              <w:spacing w:before="240" w:after="240"/>
              <w:jc w:val="left"/>
              <w:rPr>
                <w:szCs w:val="24"/>
              </w:rPr>
            </w:pPr>
            <w:r>
              <w:rPr>
                <w:szCs w:val="24"/>
              </w:rPr>
              <w:t xml:space="preserve">От началото на 2018 г. Разплащателна агенция е ускорила обработката на процедурите по ЗОП - предварителна проверка и последващ контрол. Средната продължителност на произнасяне при последващ </w:t>
            </w:r>
            <w:r>
              <w:rPr>
                <w:szCs w:val="24"/>
              </w:rPr>
              <w:t>контрол е намалена до 5 работни дни. С цел по-добра и последователна комуникация с общините бяха определени експерти, които при необходимост да дават методически указания по възникнали проблеми и казуси. Значително е ускорена и обработката на заявки за пла</w:t>
            </w:r>
            <w:r>
              <w:rPr>
                <w:szCs w:val="24"/>
              </w:rPr>
              <w:t>щания.</w:t>
            </w:r>
          </w:p>
          <w:p w:rsidR="002B3815" w:rsidRDefault="0099452B">
            <w:pPr>
              <w:spacing w:before="240" w:after="240"/>
              <w:jc w:val="left"/>
              <w:rPr>
                <w:szCs w:val="24"/>
              </w:rPr>
            </w:pPr>
            <w:r>
              <w:rPr>
                <w:szCs w:val="24"/>
              </w:rPr>
              <w:t>С цел ускоряване изпълнението на проектите, в договорите за безвъзмездна финансова помощ с бенефициентите е предвидено задължение за стартиране изпълнението на проектите не по-късно от 6 месеца (за кандидати възложители по ЗОП) от момента на извърше</w:t>
            </w:r>
            <w:r>
              <w:rPr>
                <w:szCs w:val="24"/>
              </w:rPr>
              <w:t xml:space="preserve">нияпоследващ контрол от РА върху обществената поръчка за избор на изпълнител по проекта. От друга страна за бенефициентите, които вече са избрали изпълнител по договорите се изискват документи доказващи стартирането на дейностите </w:t>
            </w:r>
            <w:r>
              <w:rPr>
                <w:i/>
                <w:iCs/>
                <w:szCs w:val="24"/>
              </w:rPr>
              <w:t>/протоколи, фактури, плаща</w:t>
            </w:r>
            <w:r>
              <w:rPr>
                <w:i/>
                <w:iCs/>
                <w:szCs w:val="24"/>
              </w:rPr>
              <w:t>ния към изпълнител и др./</w:t>
            </w:r>
            <w:r>
              <w:rPr>
                <w:szCs w:val="24"/>
              </w:rPr>
              <w:t>, като по този начин се гарантира, че е стартирало изпълнението на проекта и Разплащателна агенция има увереност, че се извършват реални дейности по същия.</w:t>
            </w:r>
          </w:p>
          <w:p w:rsidR="002B3815" w:rsidRDefault="0099452B" w:rsidP="0099452B">
            <w:pPr>
              <w:numPr>
                <w:ilvl w:val="0"/>
                <w:numId w:val="45"/>
              </w:numPr>
              <w:spacing w:before="240" w:after="240"/>
              <w:ind w:hanging="210"/>
              <w:jc w:val="left"/>
              <w:rPr>
                <w:szCs w:val="24"/>
              </w:rPr>
            </w:pPr>
            <w:r>
              <w:rPr>
                <w:b/>
                <w:bCs/>
                <w:szCs w:val="24"/>
              </w:rPr>
              <w:t xml:space="preserve">Осигуряване на безлихвени заеми за финансиране изпълнението на проектните </w:t>
            </w:r>
            <w:r>
              <w:rPr>
                <w:b/>
                <w:bCs/>
                <w:szCs w:val="24"/>
              </w:rPr>
              <w:t>предложения</w:t>
            </w:r>
          </w:p>
          <w:p w:rsidR="002B3815" w:rsidRDefault="0099452B">
            <w:pPr>
              <w:spacing w:before="240" w:after="240"/>
              <w:jc w:val="left"/>
              <w:rPr>
                <w:szCs w:val="24"/>
              </w:rPr>
            </w:pPr>
            <w:r>
              <w:rPr>
                <w:szCs w:val="24"/>
              </w:rPr>
              <w:t>Като част от стъпките по Плана за действие по инициатива на УО е разработено и прието от Министерския съвет на Република България постановление, с което се отпускат временни безлихвени заеми от централния бюджет на общините за финансиране на ра</w:t>
            </w:r>
            <w:r>
              <w:rPr>
                <w:szCs w:val="24"/>
              </w:rPr>
              <w:t>зходи за междинни и окончателни плащания по одобрени проекти по ПРСР 2014 - 2020 г.</w:t>
            </w:r>
          </w:p>
          <w:p w:rsidR="002B3815" w:rsidRDefault="0099452B" w:rsidP="0099452B">
            <w:pPr>
              <w:numPr>
                <w:ilvl w:val="0"/>
                <w:numId w:val="46"/>
              </w:numPr>
              <w:spacing w:before="240" w:after="240"/>
              <w:ind w:hanging="210"/>
              <w:jc w:val="left"/>
              <w:rPr>
                <w:szCs w:val="24"/>
              </w:rPr>
            </w:pPr>
            <w:r>
              <w:rPr>
                <w:b/>
                <w:bCs/>
                <w:szCs w:val="24"/>
              </w:rPr>
              <w:t>Засилване на комуникацията, организиране на съвместни разяснителни срещи и предоставяне на консултации към бенефициентите</w:t>
            </w:r>
          </w:p>
          <w:p w:rsidR="002B3815" w:rsidRDefault="0099452B">
            <w:pPr>
              <w:spacing w:before="240" w:after="240"/>
              <w:jc w:val="left"/>
              <w:rPr>
                <w:szCs w:val="24"/>
              </w:rPr>
            </w:pPr>
            <w:r>
              <w:rPr>
                <w:szCs w:val="24"/>
              </w:rPr>
              <w:t>В началото на 2018 г. в различни части на страната</w:t>
            </w:r>
            <w:r>
              <w:rPr>
                <w:szCs w:val="24"/>
              </w:rPr>
              <w:t xml:space="preserve"> се проведоха  кръгли маси с всички бенефициенти - общини по подмярка 7.2, които се финансират по мярка „Техническа помощ“. В рамките на тези срещи, на бенефициентите се предоставиха таргетирани консултации във връзка с техните специфични проблеми и съвети</w:t>
            </w:r>
            <w:r>
              <w:rPr>
                <w:szCs w:val="24"/>
              </w:rPr>
              <w:t xml:space="preserve"> относно най-често допусканите грешки при провеждането на обществените поръчки.</w:t>
            </w:r>
          </w:p>
          <w:p w:rsidR="002B3815" w:rsidRDefault="0099452B">
            <w:pPr>
              <w:spacing w:before="240" w:after="240"/>
              <w:jc w:val="left"/>
              <w:rPr>
                <w:szCs w:val="24"/>
              </w:rPr>
            </w:pPr>
            <w:r>
              <w:rPr>
                <w:szCs w:val="24"/>
              </w:rPr>
              <w:t>Към първоначално изготвения план за действие бяха добавени нови мерки, целящи да ускорят изпълнението на проектите.  В изпълнение на набелязаните мерки, беше проведена тридневн</w:t>
            </w:r>
            <w:r>
              <w:rPr>
                <w:szCs w:val="24"/>
              </w:rPr>
              <w:t>а среща /07.11-09.11.2018г./, състояла се в Боровец, където наред с представители на всички общини в страната, участие взеха представители и експерти от УО и РА. В рамките на организираната от Национално сдружение на общините в Република България /НСОРБ/ с</w:t>
            </w:r>
            <w:r>
              <w:rPr>
                <w:szCs w:val="24"/>
              </w:rPr>
              <w:t>реща беше отделен специален модул за дискусии,  свързани с изпълнение на проектите по мярка 7 и постигане на целите на П6.</w:t>
            </w:r>
          </w:p>
          <w:p w:rsidR="002B3815" w:rsidRDefault="0099452B">
            <w:pPr>
              <w:spacing w:before="240" w:after="240"/>
              <w:jc w:val="left"/>
              <w:rPr>
                <w:szCs w:val="24"/>
              </w:rPr>
            </w:pPr>
            <w:r>
              <w:rPr>
                <w:szCs w:val="24"/>
              </w:rPr>
              <w:t>Като част от плана за действие през месец ноември 2018 г. в Министерството на земеделието, храните и горите са проведени и срещи межд</w:t>
            </w:r>
            <w:r>
              <w:rPr>
                <w:szCs w:val="24"/>
              </w:rPr>
              <w:t>у Управляващият орган, РА и представители на общини, НПО сектор и местни поделения на вероизповеданията, които имат сключени договори по мярка 7.</w:t>
            </w:r>
          </w:p>
          <w:p w:rsidR="002B3815" w:rsidRDefault="0099452B">
            <w:pPr>
              <w:spacing w:before="240" w:after="240"/>
              <w:jc w:val="left"/>
              <w:rPr>
                <w:szCs w:val="24"/>
              </w:rPr>
            </w:pPr>
            <w:r>
              <w:rPr>
                <w:szCs w:val="24"/>
              </w:rPr>
              <w:t>Към момента УО на ПРСР реалистично очаква, че резервът за приоритет 6 (42 651 124 евро от ЕЗФРСР) ще се наложи</w:t>
            </w:r>
            <w:r>
              <w:rPr>
                <w:szCs w:val="24"/>
              </w:rPr>
              <w:t xml:space="preserve"> да бъде прехвърлен към друг приоритет, изпълнил междинните цели. Също така УО на ПРСР очаква, че поради съгласуваният със службите на ЕК план за действие конкретно за приоритет 6, предприетите действия ще бъдат взети предвид, и няма да се налагат корекции</w:t>
            </w:r>
            <w:r>
              <w:rPr>
                <w:szCs w:val="24"/>
              </w:rPr>
              <w:t xml:space="preserve"> или временно спиране на средствата по този приоритет.</w:t>
            </w:r>
          </w:p>
          <w:p w:rsidR="002B3815" w:rsidRDefault="002B3815">
            <w:pPr>
              <w:pStyle w:val="BodyText"/>
            </w:pPr>
          </w:p>
          <w:p w:rsidR="002B3815" w:rsidRDefault="0099452B">
            <w:pPr>
              <w:pStyle w:val="BodyText3"/>
              <w:jc w:val="center"/>
            </w:pPr>
            <w:r w:rsidRPr="0099452B">
              <w:rPr>
                <w:noProof/>
                <w:lang w:val="en-US"/>
              </w:rPr>
              <w:pict>
                <v:shape id="Picture 100029" o:spid="_x0000_i1033" type="#_x0000_t75" style="width:418.5pt;height:379.5pt;visibility:visible;mso-wrap-style:square">
                  <v:imagedata r:id="rId39" o:title=""/>
                </v:shape>
              </w:pict>
            </w:r>
          </w:p>
          <w:p w:rsidR="002B3815" w:rsidRDefault="0099452B">
            <w:pPr>
              <w:pStyle w:val="Footer"/>
              <w:jc w:val="center"/>
            </w:pPr>
            <w:r>
              <w:t>Таблица 1</w:t>
            </w:r>
          </w:p>
          <w:p w:rsidR="002B3815" w:rsidRDefault="002B3815">
            <w:pPr>
              <w:pStyle w:val="Footer"/>
              <w:jc w:val="center"/>
            </w:pPr>
          </w:p>
        </w:tc>
      </w:tr>
    </w:tbl>
    <w:p w:rsidR="002B3815" w:rsidRDefault="002B3815">
      <w:pPr>
        <w:sectPr w:rsidR="002B3815">
          <w:pgSz w:w="12240" w:h="15840"/>
          <w:pgMar w:top="900" w:right="900" w:bottom="900" w:left="900" w:header="720" w:footer="720" w:gutter="0"/>
          <w:cols w:space="720"/>
        </w:sectPr>
      </w:pPr>
    </w:p>
    <w:p w:rsidR="002B3815" w:rsidRDefault="0099452B">
      <w:pPr>
        <w:pStyle w:val="Heading2"/>
      </w:pPr>
      <w:bookmarkStart w:id="19" w:name="_Toc256000168"/>
      <w:bookmarkStart w:id="20" w:name="_Toc256000086"/>
      <w:bookmarkStart w:id="21" w:name="_Toc256000006"/>
      <w:r>
        <w:t>Друг конкретен елемент по ПРСР [незадължително]</w:t>
      </w:r>
      <w:bookmarkEnd w:id="19"/>
      <w:bookmarkEnd w:id="20"/>
      <w:bookmarkEnd w:id="2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2B3815">
        <w:tc>
          <w:tcPr>
            <w:tcW w:w="750" w:type="pct"/>
            <w:shd w:val="clear" w:color="auto" w:fill="auto"/>
            <w:vAlign w:val="center"/>
          </w:tcPr>
          <w:p w:rsidR="002B3815" w:rsidRDefault="0099452B">
            <w:pPr>
              <w:spacing w:before="0" w:after="240"/>
              <w:jc w:val="left"/>
              <w:rPr>
                <w:szCs w:val="24"/>
              </w:rPr>
            </w:pPr>
            <w:r>
              <w:rPr>
                <w:szCs w:val="24"/>
              </w:rPr>
              <w:t>Настоящата програма допринася за изпълнението на Дунавската стратегия. ПРСРС е свързана със стълба „Опазване на околната среда“.</w:t>
            </w:r>
            <w:r>
              <w:rPr>
                <w:szCs w:val="24"/>
              </w:rPr>
              <w:t xml:space="preserve"> Чрез мерките, включени в програмата се очаква принос за изпълнение на Приоритетна област 05 Екологични рискове и Приоритетна област 06: Биоразнообразие.</w:t>
            </w:r>
          </w:p>
          <w:p w:rsidR="002B3815" w:rsidRDefault="002B3815">
            <w:pPr>
              <w:pStyle w:val="BodyText"/>
            </w:pPr>
          </w:p>
        </w:tc>
      </w:tr>
    </w:tbl>
    <w:p w:rsidR="002B3815" w:rsidRDefault="002B3815"/>
    <w:p w:rsidR="000C0F34" w:rsidRDefault="000C0F34" w:rsidP="000C0F34"/>
    <w:p w:rsidR="000C0F34" w:rsidRDefault="0099452B" w:rsidP="000C0F34">
      <w:pPr>
        <w:pStyle w:val="Heading2"/>
        <w:tabs>
          <w:tab w:val="num" w:pos="708"/>
        </w:tabs>
        <w:ind w:left="708" w:hanging="850"/>
      </w:pPr>
      <w:bookmarkStart w:id="22" w:name="_Toc256000169"/>
      <w:bookmarkStart w:id="23" w:name="_Toc256000087"/>
      <w:r>
        <w:rPr>
          <w:noProof/>
        </w:rPr>
        <w:t>По целесъобразност, приноса към макрорегионалните стратегии и стратегиите за морските басейни</w:t>
      </w:r>
      <w:bookmarkEnd w:id="22"/>
      <w:bookmarkEnd w:id="23"/>
    </w:p>
    <w:p w:rsidR="000C0F34" w:rsidRDefault="000C0F34" w:rsidP="000C0F34">
      <w:pPr>
        <w:pStyle w:val="Text1"/>
        <w:ind w:left="0"/>
      </w:pPr>
    </w:p>
    <w:p w:rsidR="000C0F34" w:rsidRDefault="0099452B" w:rsidP="000C0F34">
      <w:pPr>
        <w:pStyle w:val="Text1"/>
        <w:ind w:left="0"/>
      </w:pPr>
      <w:r>
        <w:t>Как</w:t>
      </w:r>
      <w:r>
        <w:t xml:space="preserve">то е посочено в Регламент (ЕС) № 1303/2013, член 27, параграф 3 относно </w:t>
      </w:r>
      <w:r>
        <w:fldChar w:fldCharType="begin"/>
      </w:r>
      <w:r>
        <w:instrText>QUOTE 34</w:instrText>
      </w:r>
      <w:r>
        <w:fldChar w:fldCharType="separate"/>
      </w:r>
      <w:r>
        <w:t>"</w:t>
      </w:r>
      <w:r>
        <w:fldChar w:fldCharType="end"/>
      </w:r>
      <w:r>
        <w:t>съдържанието на програмите</w:t>
      </w:r>
      <w:r>
        <w:fldChar w:fldCharType="begin"/>
      </w:r>
      <w:r>
        <w:instrText>QUOTE 34</w:instrText>
      </w:r>
      <w:r>
        <w:fldChar w:fldCharType="separate"/>
      </w:r>
      <w:r>
        <w:t>"</w:t>
      </w:r>
      <w:r>
        <w:fldChar w:fldCharType="end"/>
      </w:r>
      <w:r>
        <w:t xml:space="preserve">, член 96, параграф 3, буква д) относно </w:t>
      </w:r>
      <w:r>
        <w:fldChar w:fldCharType="begin"/>
      </w:r>
      <w:r>
        <w:instrText>QUOTE 34</w:instrText>
      </w:r>
      <w:r>
        <w:fldChar w:fldCharType="separate"/>
      </w:r>
      <w:r>
        <w:t>"</w:t>
      </w:r>
      <w:r>
        <w:fldChar w:fldCharType="end"/>
      </w:r>
      <w:r>
        <w:t xml:space="preserve">съдържанието, приемането и изменението на оперативните програми по цел </w:t>
      </w:r>
      <w:r>
        <w:fldChar w:fldCharType="begin"/>
      </w:r>
      <w:r>
        <w:instrText>QUOTE 34</w:instrText>
      </w:r>
      <w:r>
        <w:fldChar w:fldCharType="separate"/>
      </w:r>
      <w:r>
        <w:t>"</w:t>
      </w:r>
      <w:r>
        <w:fldChar w:fldCharType="end"/>
      </w:r>
      <w:r>
        <w:t>Инвестиции за растеж и работни места</w:t>
      </w:r>
      <w:r>
        <w:fldChar w:fldCharType="begin"/>
      </w:r>
      <w:r>
        <w:instrText>QUOTE 34</w:instrText>
      </w:r>
      <w:r>
        <w:fldChar w:fldCharType="separate"/>
      </w:r>
      <w:r>
        <w:t>"</w:t>
      </w:r>
      <w:r>
        <w:fldChar w:fldCharType="end"/>
      </w:r>
      <w:r>
        <w:t xml:space="preserve">, член 111, параграф 3, член 111, параграф 4, буква г) относно </w:t>
      </w:r>
      <w:r>
        <w:fldChar w:fldCharType="begin"/>
      </w:r>
      <w:r>
        <w:instrText>QUOTE 34</w:instrText>
      </w:r>
      <w:r>
        <w:fldChar w:fldCharType="separate"/>
      </w:r>
      <w:r>
        <w:t>"</w:t>
      </w:r>
      <w:r>
        <w:fldChar w:fldCharType="end"/>
      </w:r>
      <w:r>
        <w:t xml:space="preserve">докладите за изпълнение по целта </w:t>
      </w:r>
      <w:r>
        <w:fldChar w:fldCharType="begin"/>
      </w:r>
      <w:r>
        <w:instrText>QUOTE 34</w:instrText>
      </w:r>
      <w:r>
        <w:fldChar w:fldCharType="separate"/>
      </w:r>
      <w:r>
        <w:t>"</w:t>
      </w:r>
      <w:r>
        <w:fldChar w:fldCharType="end"/>
      </w:r>
      <w:r>
        <w:t>Инвестиции за растеж и работни места</w:t>
      </w:r>
      <w:r>
        <w:fldChar w:fldCharType="begin"/>
      </w:r>
      <w:r>
        <w:instrText>QUOTE 34</w:instrText>
      </w:r>
      <w:r>
        <w:fldChar w:fldCharType="separate"/>
      </w:r>
      <w:r>
        <w:t>"</w:t>
      </w:r>
      <w:r>
        <w:fldChar w:fldCharType="end"/>
      </w:r>
      <w:r>
        <w:t xml:space="preserve"> и приложение 1, раздел 7.3 относно </w:t>
      </w:r>
      <w:r>
        <w:fldChar w:fldCharType="begin"/>
      </w:r>
      <w:r>
        <w:instrText>QUO</w:instrText>
      </w:r>
      <w:r>
        <w:instrText>TE 34</w:instrText>
      </w:r>
      <w:r>
        <w:fldChar w:fldCharType="separate"/>
      </w:r>
      <w:r>
        <w:t>"</w:t>
      </w:r>
      <w:r>
        <w:fldChar w:fldCharType="end"/>
      </w:r>
      <w:r>
        <w:t>приноса на основните програми за макрорегионалните стратегии и стратегиите за морските басейни</w:t>
      </w:r>
      <w:r>
        <w:fldChar w:fldCharType="begin"/>
      </w:r>
      <w:r>
        <w:instrText>QUOTE 34</w:instrText>
      </w:r>
      <w:r>
        <w:fldChar w:fldCharType="separate"/>
      </w:r>
      <w:r>
        <w:t>"</w:t>
      </w:r>
      <w:r>
        <w:fldChar w:fldCharType="end"/>
      </w:r>
      <w:r>
        <w:t xml:space="preserve"> настоящата програма допринася за макрорегионални стратегии и/или стратегии за морските басейни:</w:t>
      </w:r>
    </w:p>
    <w:p w:rsidR="000C0F34" w:rsidRDefault="000C0F34" w:rsidP="000C0F34">
      <w:pPr>
        <w:pStyle w:val="Text1"/>
        <w:ind w:left="0"/>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2B3815" w:rsidTr="00344C66">
        <w:tc>
          <w:tcPr>
            <w:tcW w:w="0" w:type="auto"/>
            <w:shd w:val="clear" w:color="auto" w:fill="auto"/>
          </w:tcPr>
          <w:p w:rsidR="000C0F34" w:rsidRDefault="000C0F34" w:rsidP="00344C66">
            <w:pPr>
              <w:pStyle w:val="Text1"/>
              <w:ind w:left="0"/>
            </w:pPr>
          </w:p>
        </w:tc>
      </w:tr>
    </w:tbl>
    <w:p w:rsidR="000C0F34" w:rsidRDefault="000C0F34" w:rsidP="000C0F34">
      <w:pPr>
        <w:pStyle w:val="Text1"/>
        <w:ind w:left="0"/>
      </w:pPr>
    </w:p>
    <w:p w:rsidR="000C0F34" w:rsidRDefault="0099452B" w:rsidP="000C0F34">
      <w:pPr>
        <w:autoSpaceDE w:val="0"/>
        <w:autoSpaceDN w:val="0"/>
        <w:adjustRightInd w:val="0"/>
        <w:spacing w:before="0" w:after="0"/>
      </w:pPr>
      <w:r>
        <w:rPr>
          <w:rFonts w:ascii="Wingdings" w:hAnsi="Wingdings" w:cs="Wingdings"/>
          <w:sz w:val="26"/>
          <w:szCs w:val="26"/>
          <w:lang w:val="en-US"/>
        </w:rPr>
        <w:sym w:font="Wingdings" w:char="F0A8"/>
      </w:r>
      <w:r>
        <w:t xml:space="preserve">  </w:t>
      </w:r>
      <w:r>
        <w:rPr>
          <w:noProof/>
        </w:rPr>
        <w:t xml:space="preserve">Стратегия на ЕС за региона на </w:t>
      </w:r>
      <w:r>
        <w:rPr>
          <w:noProof/>
        </w:rPr>
        <w:t>Балтийско море (EUSBSR)</w:t>
      </w:r>
    </w:p>
    <w:p w:rsidR="000C0F34" w:rsidRDefault="0099452B" w:rsidP="000C0F34">
      <w:r>
        <w:rPr>
          <w:rFonts w:ascii="Wingdings" w:hAnsi="Wingdings" w:cs="Wingdings"/>
          <w:sz w:val="26"/>
          <w:szCs w:val="26"/>
          <w:lang w:val="en-US"/>
        </w:rPr>
        <w:sym w:font="Wingdings" w:char="F0FE"/>
      </w:r>
      <w:r>
        <w:t xml:space="preserve">  </w:t>
      </w:r>
      <w:r>
        <w:rPr>
          <w:noProof/>
        </w:rPr>
        <w:t>Стратегия на ЕС за региона на река Дунав (EUSDR)</w:t>
      </w:r>
    </w:p>
    <w:p w:rsidR="000C0F34" w:rsidRDefault="0099452B" w:rsidP="000C0F34">
      <w:pPr>
        <w:pStyle w:val="Text1"/>
        <w:ind w:left="0"/>
      </w:pPr>
      <w:r>
        <w:rPr>
          <w:rFonts w:ascii="Wingdings" w:hAnsi="Wingdings" w:cs="Wingdings"/>
          <w:sz w:val="26"/>
          <w:szCs w:val="26"/>
          <w:lang w:val="en-US"/>
        </w:rPr>
        <w:sym w:font="Wingdings" w:char="F0A8"/>
      </w:r>
      <w:r>
        <w:t xml:space="preserve">  </w:t>
      </w:r>
      <w:r>
        <w:rPr>
          <w:noProof/>
        </w:rPr>
        <w:t>Стратегия на ЕС за региона на Адриатическо и Йонийско море (EUSAIR)</w:t>
      </w:r>
    </w:p>
    <w:p w:rsidR="000C0F34" w:rsidRDefault="0099452B" w:rsidP="000C0F34">
      <w:pPr>
        <w:pStyle w:val="Text1"/>
        <w:ind w:left="0"/>
      </w:pPr>
      <w:r>
        <w:rPr>
          <w:rFonts w:ascii="Wingdings" w:hAnsi="Wingdings" w:cs="Wingdings"/>
          <w:sz w:val="26"/>
          <w:szCs w:val="26"/>
          <w:lang w:val="en-US"/>
        </w:rPr>
        <w:sym w:font="Wingdings" w:char="F0A8"/>
      </w:r>
      <w:r>
        <w:t xml:space="preserve">  </w:t>
      </w:r>
      <w:r>
        <w:rPr>
          <w:noProof/>
        </w:rPr>
        <w:t>Стратегия на ЕС за региона на Алпите (EUSALP)</w:t>
      </w:r>
    </w:p>
    <w:p w:rsidR="000C0F34" w:rsidRPr="00F70AEC" w:rsidRDefault="0099452B" w:rsidP="000C0F34">
      <w:pPr>
        <w:pStyle w:val="Text1"/>
        <w:ind w:left="0"/>
        <w:rPr>
          <w:sz w:val="8"/>
          <w:szCs w:val="8"/>
        </w:rPr>
      </w:pPr>
      <w:r>
        <w:rPr>
          <w:rFonts w:ascii="Wingdings" w:hAnsi="Wingdings" w:cs="Wingdings"/>
          <w:sz w:val="26"/>
          <w:szCs w:val="26"/>
          <w:lang w:val="en-US"/>
        </w:rPr>
        <w:sym w:font="Wingdings" w:char="F0A8"/>
      </w:r>
      <w:r>
        <w:t xml:space="preserve">  </w:t>
      </w:r>
      <w:r>
        <w:rPr>
          <w:noProof/>
        </w:rPr>
        <w:t>Стратегия за басейна на Атлантическия океан (ATLSBS)</w:t>
      </w:r>
    </w:p>
    <w:p w:rsidR="000C0F34" w:rsidRDefault="0099452B" w:rsidP="000C0F34">
      <w:pPr>
        <w:pStyle w:val="Heading3"/>
      </w:pPr>
      <w:r>
        <w:br w:type="page"/>
      </w:r>
      <w:bookmarkStart w:id="24" w:name="_Toc256000170"/>
      <w:bookmarkStart w:id="25" w:name="_Toc256000088"/>
      <w:r w:rsidRPr="003C089B">
        <w:rPr>
          <w:rStyle w:val="Heading3Char"/>
          <w:noProof/>
        </w:rPr>
        <w:t>Стр</w:t>
      </w:r>
      <w:r w:rsidRPr="003C089B">
        <w:rPr>
          <w:rStyle w:val="Heading3Char"/>
          <w:noProof/>
        </w:rPr>
        <w:t>атегия на ЕС за региона на река Дунав (EUSDR)</w:t>
      </w:r>
      <w:bookmarkEnd w:id="24"/>
      <w:bookmarkEnd w:id="25"/>
    </w:p>
    <w:p w:rsidR="000C0F34" w:rsidRDefault="000C0F34" w:rsidP="000C0F34">
      <w:pPr>
        <w:rPr>
          <w:b/>
        </w:rPr>
      </w:pPr>
    </w:p>
    <w:p w:rsidR="000C0F34" w:rsidRPr="00D0301C" w:rsidRDefault="0099452B" w:rsidP="000C0F34">
      <w:r w:rsidRPr="00D0301C">
        <w:rPr>
          <w:noProof/>
        </w:rPr>
        <w:t>Стълбовете и приоритетните области, към които програмата има отношение:</w:t>
      </w:r>
    </w:p>
    <w:p w:rsidR="000C0F34" w:rsidRDefault="000C0F34" w:rsidP="000C0F3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4514"/>
        <w:gridCol w:w="5694"/>
      </w:tblGrid>
      <w:tr w:rsidR="002B3815" w:rsidTr="00344C66">
        <w:tc>
          <w:tcPr>
            <w:tcW w:w="0" w:type="auto"/>
            <w:shd w:val="clear" w:color="auto" w:fill="auto"/>
          </w:tcPr>
          <w:p w:rsidR="000C0F34" w:rsidRDefault="000C0F34" w:rsidP="00344C66">
            <w:pPr>
              <w:jc w:val="center"/>
            </w:pPr>
          </w:p>
        </w:tc>
        <w:tc>
          <w:tcPr>
            <w:tcW w:w="0" w:type="auto"/>
          </w:tcPr>
          <w:p w:rsidR="000C0F34" w:rsidRPr="00AB4DE0" w:rsidRDefault="0099452B" w:rsidP="00344C66">
            <w:r>
              <w:t xml:space="preserve"> </w:t>
            </w:r>
            <w:r w:rsidRPr="00CD4FC0">
              <w:rPr>
                <w:b/>
                <w:noProof/>
              </w:rPr>
              <w:t>Стълб</w:t>
            </w:r>
          </w:p>
        </w:tc>
        <w:tc>
          <w:tcPr>
            <w:tcW w:w="0" w:type="auto"/>
            <w:shd w:val="clear" w:color="auto" w:fill="auto"/>
          </w:tcPr>
          <w:p w:rsidR="000C0F34" w:rsidRDefault="0099452B" w:rsidP="00344C66">
            <w:r w:rsidRPr="00753287">
              <w:rPr>
                <w:b/>
                <w:noProof/>
              </w:rPr>
              <w:t>Приоритетна област</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1 - </w:t>
            </w:r>
            <w:r>
              <w:t xml:space="preserve"> </w:t>
            </w:r>
            <w:r>
              <w:rPr>
                <w:noProof/>
              </w:rPr>
              <w:t>Създаване на връзки за региона на река Дунав</w:t>
            </w:r>
          </w:p>
        </w:tc>
        <w:tc>
          <w:tcPr>
            <w:tcW w:w="0" w:type="auto"/>
            <w:shd w:val="clear" w:color="auto" w:fill="auto"/>
          </w:tcPr>
          <w:p w:rsidR="000C0F34" w:rsidRDefault="0099452B" w:rsidP="00344C66">
            <w:r>
              <w:rPr>
                <w:noProof/>
              </w:rPr>
              <w:t>1.1 - Мобилност — водни пътища</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1 - </w:t>
            </w:r>
            <w:r>
              <w:t xml:space="preserve"> </w:t>
            </w:r>
            <w:r>
              <w:rPr>
                <w:noProof/>
              </w:rPr>
              <w:t xml:space="preserve">Създаване на </w:t>
            </w:r>
            <w:r>
              <w:rPr>
                <w:noProof/>
              </w:rPr>
              <w:t>връзки за региона на река Дунав</w:t>
            </w:r>
          </w:p>
        </w:tc>
        <w:tc>
          <w:tcPr>
            <w:tcW w:w="0" w:type="auto"/>
            <w:shd w:val="clear" w:color="auto" w:fill="auto"/>
          </w:tcPr>
          <w:p w:rsidR="000C0F34" w:rsidRDefault="0099452B" w:rsidP="00344C66">
            <w:r>
              <w:rPr>
                <w:noProof/>
              </w:rPr>
              <w:t>1.2 - Мобилност — ЖП, шосеен и въздушен транспорт</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1 - </w:t>
            </w:r>
            <w:r>
              <w:t xml:space="preserve"> </w:t>
            </w:r>
            <w:r>
              <w:rPr>
                <w:noProof/>
              </w:rPr>
              <w:t>Създаване на връзки за региона на река Дунав</w:t>
            </w:r>
          </w:p>
        </w:tc>
        <w:tc>
          <w:tcPr>
            <w:tcW w:w="0" w:type="auto"/>
            <w:shd w:val="clear" w:color="auto" w:fill="auto"/>
          </w:tcPr>
          <w:p w:rsidR="000C0F34" w:rsidRDefault="0099452B" w:rsidP="00344C66">
            <w:r>
              <w:rPr>
                <w:noProof/>
              </w:rPr>
              <w:t>1.3 - Енергетика</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1 - </w:t>
            </w:r>
            <w:r>
              <w:t xml:space="preserve"> </w:t>
            </w:r>
            <w:r>
              <w:rPr>
                <w:noProof/>
              </w:rPr>
              <w:t>Създаване на връзки за региона на река Дунав</w:t>
            </w:r>
          </w:p>
        </w:tc>
        <w:tc>
          <w:tcPr>
            <w:tcW w:w="0" w:type="auto"/>
            <w:shd w:val="clear" w:color="auto" w:fill="auto"/>
          </w:tcPr>
          <w:p w:rsidR="000C0F34" w:rsidRDefault="0099452B" w:rsidP="00344C66">
            <w:r>
              <w:rPr>
                <w:noProof/>
              </w:rPr>
              <w:t>1.4 - Култура и туризъм</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2 - </w:t>
            </w:r>
            <w:r>
              <w:t xml:space="preserve"> </w:t>
            </w:r>
            <w:r>
              <w:rPr>
                <w:noProof/>
              </w:rPr>
              <w:t xml:space="preserve">Опазване на </w:t>
            </w:r>
            <w:r>
              <w:rPr>
                <w:noProof/>
              </w:rPr>
              <w:t>околната среда в региона на река Дунав</w:t>
            </w:r>
          </w:p>
        </w:tc>
        <w:tc>
          <w:tcPr>
            <w:tcW w:w="0" w:type="auto"/>
            <w:shd w:val="clear" w:color="auto" w:fill="auto"/>
          </w:tcPr>
          <w:p w:rsidR="000C0F34" w:rsidRDefault="0099452B" w:rsidP="00344C66">
            <w:r>
              <w:rPr>
                <w:noProof/>
              </w:rPr>
              <w:t>2.1 - Качество на водите</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FE"/>
            </w:r>
          </w:p>
        </w:tc>
        <w:tc>
          <w:tcPr>
            <w:tcW w:w="0" w:type="auto"/>
          </w:tcPr>
          <w:p w:rsidR="000C0F34" w:rsidRPr="00AB4DE0" w:rsidRDefault="0099452B" w:rsidP="00344C66">
            <w:r>
              <w:rPr>
                <w:noProof/>
              </w:rPr>
              <w:t xml:space="preserve">2 - </w:t>
            </w:r>
            <w:r>
              <w:t xml:space="preserve"> </w:t>
            </w:r>
            <w:r>
              <w:rPr>
                <w:noProof/>
              </w:rPr>
              <w:t>Опазване на околната среда в региона на река Дунав</w:t>
            </w:r>
          </w:p>
        </w:tc>
        <w:tc>
          <w:tcPr>
            <w:tcW w:w="0" w:type="auto"/>
            <w:shd w:val="clear" w:color="auto" w:fill="auto"/>
          </w:tcPr>
          <w:p w:rsidR="000C0F34" w:rsidRDefault="0099452B" w:rsidP="00344C66">
            <w:r>
              <w:rPr>
                <w:noProof/>
              </w:rPr>
              <w:t>2.2 - Екологични рискове</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FE"/>
            </w:r>
          </w:p>
        </w:tc>
        <w:tc>
          <w:tcPr>
            <w:tcW w:w="0" w:type="auto"/>
          </w:tcPr>
          <w:p w:rsidR="000C0F34" w:rsidRPr="00AB4DE0" w:rsidRDefault="0099452B" w:rsidP="00344C66">
            <w:r>
              <w:rPr>
                <w:noProof/>
              </w:rPr>
              <w:t xml:space="preserve">2 - </w:t>
            </w:r>
            <w:r>
              <w:t xml:space="preserve"> </w:t>
            </w:r>
            <w:r>
              <w:rPr>
                <w:noProof/>
              </w:rPr>
              <w:t>Опазване на околната среда в региона на река Дунав</w:t>
            </w:r>
          </w:p>
        </w:tc>
        <w:tc>
          <w:tcPr>
            <w:tcW w:w="0" w:type="auto"/>
            <w:shd w:val="clear" w:color="auto" w:fill="auto"/>
          </w:tcPr>
          <w:p w:rsidR="000C0F34" w:rsidRDefault="0099452B" w:rsidP="00344C66">
            <w:r>
              <w:rPr>
                <w:noProof/>
              </w:rPr>
              <w:t>2.3 - Биологично разнообразие, ландшафт, качество</w:t>
            </w:r>
            <w:r>
              <w:rPr>
                <w:noProof/>
              </w:rPr>
              <w:t xml:space="preserve"> на въздуха и почвите</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3 - </w:t>
            </w:r>
            <w:r>
              <w:t xml:space="preserve"> </w:t>
            </w:r>
            <w:r>
              <w:rPr>
                <w:noProof/>
              </w:rPr>
              <w:t>Изграждане на благосъстояние в региона на река Дунав</w:t>
            </w:r>
          </w:p>
        </w:tc>
        <w:tc>
          <w:tcPr>
            <w:tcW w:w="0" w:type="auto"/>
            <w:shd w:val="clear" w:color="auto" w:fill="auto"/>
          </w:tcPr>
          <w:p w:rsidR="000C0F34" w:rsidRDefault="0099452B" w:rsidP="00344C66">
            <w:r>
              <w:rPr>
                <w:noProof/>
              </w:rPr>
              <w:t>3.1 - Общество на знанието</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3 - </w:t>
            </w:r>
            <w:r>
              <w:t xml:space="preserve"> </w:t>
            </w:r>
            <w:r>
              <w:rPr>
                <w:noProof/>
              </w:rPr>
              <w:t>Изграждане на благосъстояние в региона на река Дунав</w:t>
            </w:r>
          </w:p>
        </w:tc>
        <w:tc>
          <w:tcPr>
            <w:tcW w:w="0" w:type="auto"/>
            <w:shd w:val="clear" w:color="auto" w:fill="auto"/>
          </w:tcPr>
          <w:p w:rsidR="000C0F34" w:rsidRDefault="0099452B" w:rsidP="00344C66">
            <w:r>
              <w:rPr>
                <w:noProof/>
              </w:rPr>
              <w:t>3.2 - Конкурентоспособност</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3 - </w:t>
            </w:r>
            <w:r>
              <w:t xml:space="preserve"> </w:t>
            </w:r>
            <w:r>
              <w:rPr>
                <w:noProof/>
              </w:rPr>
              <w:t xml:space="preserve">Изграждане на благосъстояние в региона на река </w:t>
            </w:r>
            <w:r>
              <w:rPr>
                <w:noProof/>
              </w:rPr>
              <w:t>Дунав</w:t>
            </w:r>
          </w:p>
        </w:tc>
        <w:tc>
          <w:tcPr>
            <w:tcW w:w="0" w:type="auto"/>
            <w:shd w:val="clear" w:color="auto" w:fill="auto"/>
          </w:tcPr>
          <w:p w:rsidR="000C0F34" w:rsidRDefault="0099452B" w:rsidP="00344C66">
            <w:r>
              <w:rPr>
                <w:noProof/>
              </w:rPr>
              <w:t>3.3 - Хора и умения</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4 - </w:t>
            </w:r>
            <w:r>
              <w:t xml:space="preserve"> </w:t>
            </w:r>
            <w:r>
              <w:rPr>
                <w:noProof/>
              </w:rPr>
              <w:t>Укрепване на региона на река Дунав</w:t>
            </w:r>
          </w:p>
        </w:tc>
        <w:tc>
          <w:tcPr>
            <w:tcW w:w="0" w:type="auto"/>
            <w:shd w:val="clear" w:color="auto" w:fill="auto"/>
          </w:tcPr>
          <w:p w:rsidR="000C0F34" w:rsidRDefault="0099452B" w:rsidP="00344C66">
            <w:r>
              <w:rPr>
                <w:noProof/>
              </w:rPr>
              <w:t>4.1 - Институционален капацитет и сътрудничество</w:t>
            </w:r>
          </w:p>
        </w:tc>
      </w:tr>
      <w:tr w:rsidR="002B3815" w:rsidTr="00344C66">
        <w:tc>
          <w:tcPr>
            <w:tcW w:w="0" w:type="auto"/>
            <w:shd w:val="clear" w:color="auto" w:fill="auto"/>
          </w:tcPr>
          <w:p w:rsidR="000C0F34" w:rsidRDefault="0099452B" w:rsidP="00344C66">
            <w:pPr>
              <w:jc w:val="center"/>
            </w:pPr>
            <w:r>
              <w:rPr>
                <w:rFonts w:ascii="Wingdings" w:hAnsi="Wingdings" w:cs="Wingdings"/>
                <w:sz w:val="26"/>
                <w:szCs w:val="26"/>
                <w:lang w:val="en-US"/>
              </w:rPr>
              <w:sym w:font="Wingdings" w:char="F0A8"/>
            </w:r>
          </w:p>
        </w:tc>
        <w:tc>
          <w:tcPr>
            <w:tcW w:w="0" w:type="auto"/>
          </w:tcPr>
          <w:p w:rsidR="000C0F34" w:rsidRPr="00AB4DE0" w:rsidRDefault="0099452B" w:rsidP="00344C66">
            <w:r>
              <w:rPr>
                <w:noProof/>
              </w:rPr>
              <w:t xml:space="preserve">4 - </w:t>
            </w:r>
            <w:r>
              <w:t xml:space="preserve"> </w:t>
            </w:r>
            <w:r>
              <w:rPr>
                <w:noProof/>
              </w:rPr>
              <w:t>Укрепване на региона на река Дунав</w:t>
            </w:r>
          </w:p>
        </w:tc>
        <w:tc>
          <w:tcPr>
            <w:tcW w:w="0" w:type="auto"/>
            <w:shd w:val="clear" w:color="auto" w:fill="auto"/>
          </w:tcPr>
          <w:p w:rsidR="000C0F34" w:rsidRDefault="0099452B" w:rsidP="00344C66">
            <w:r>
              <w:rPr>
                <w:noProof/>
              </w:rPr>
              <w:t>4.2 - Сигурност</w:t>
            </w:r>
          </w:p>
        </w:tc>
      </w:tr>
    </w:tbl>
    <w:p w:rsidR="000C0F34" w:rsidRPr="00D0301C" w:rsidRDefault="0099452B" w:rsidP="000C0F34">
      <w:pPr>
        <w:rPr>
          <w:b/>
        </w:rPr>
      </w:pPr>
      <w:r>
        <w:br w:type="page"/>
      </w:r>
      <w:r w:rsidRPr="00D0301C">
        <w:rPr>
          <w:b/>
          <w:noProof/>
        </w:rPr>
        <w:t>Действия или механизми, прилагани за по-добро свързване на програмата с EUSDR</w:t>
      </w:r>
    </w:p>
    <w:p w:rsidR="000C0F34" w:rsidRDefault="000C0F34" w:rsidP="000C0F34"/>
    <w:p w:rsidR="000C0F34" w:rsidRPr="009E7DF6" w:rsidRDefault="0099452B" w:rsidP="000C0F34">
      <w:pPr>
        <w:rPr>
          <w:b/>
        </w:rPr>
      </w:pPr>
      <w:r w:rsidRPr="009E7DF6">
        <w:rPr>
          <w:b/>
          <w:noProof/>
        </w:rPr>
        <w:t>А. В мониторинговия комитет на програмата участват ли макрорегионалните координатори (основно националните координатори, координаторите на приоритетните области или членовете на групата за управление)?</w:t>
      </w:r>
    </w:p>
    <w:p w:rsidR="000C0F34" w:rsidRDefault="000C0F34" w:rsidP="000C0F34"/>
    <w:p w:rsidR="000C0F34" w:rsidRDefault="0099452B" w:rsidP="000C0F34">
      <w:r>
        <w:rPr>
          <w:noProof/>
        </w:rPr>
        <w:t>Да</w:t>
      </w:r>
      <w:r>
        <w:t xml:space="preserve">  </w:t>
      </w:r>
      <w:r>
        <w:rPr>
          <w:rFonts w:ascii="Wingdings" w:hAnsi="Wingdings" w:cs="Wingdings"/>
          <w:sz w:val="26"/>
          <w:szCs w:val="26"/>
          <w:lang w:val="en-US"/>
        </w:rPr>
        <w:sym w:font="Wingdings" w:char="F0A8"/>
      </w:r>
      <w:r>
        <w:t xml:space="preserve">    </w:t>
      </w:r>
      <w:r>
        <w:rPr>
          <w:noProof/>
        </w:rPr>
        <w:t>Не</w:t>
      </w:r>
      <w:r>
        <w:t xml:space="preserve">  </w:t>
      </w:r>
      <w:r>
        <w:rPr>
          <w:rFonts w:ascii="Wingdings" w:hAnsi="Wingdings" w:cs="Wingdings"/>
          <w:sz w:val="26"/>
          <w:szCs w:val="26"/>
          <w:lang w:val="en-US"/>
        </w:rPr>
        <w:sym w:font="Wingdings" w:char="F0FE"/>
      </w:r>
    </w:p>
    <w:p w:rsidR="000C0F34" w:rsidRDefault="000C0F34" w:rsidP="000C0F34"/>
    <w:p w:rsidR="000C0F34" w:rsidRDefault="0099452B" w:rsidP="000C0F34">
      <w:pPr>
        <w:rPr>
          <w:b/>
        </w:rPr>
      </w:pPr>
      <w:r w:rsidRPr="00AB51B2">
        <w:rPr>
          <w:b/>
          <w:noProof/>
        </w:rPr>
        <w:t>Б. В критериите за подбор предвиден</w:t>
      </w:r>
      <w:r w:rsidRPr="00AB51B2">
        <w:rPr>
          <w:b/>
          <w:noProof/>
        </w:rPr>
        <w:t>и ли са допълнителни точки за специфични мерки в подкрепа на EUSDR?</w:t>
      </w:r>
    </w:p>
    <w:p w:rsidR="000C0F34" w:rsidRDefault="000C0F34" w:rsidP="000C0F34">
      <w:pPr>
        <w:rPr>
          <w:b/>
        </w:rPr>
      </w:pPr>
    </w:p>
    <w:p w:rsidR="000C0F34" w:rsidRDefault="0099452B" w:rsidP="000C0F34">
      <w:r>
        <w:rPr>
          <w:noProof/>
        </w:rPr>
        <w:t>Да</w:t>
      </w:r>
      <w:r>
        <w:t xml:space="preserve">  </w:t>
      </w:r>
      <w:r>
        <w:rPr>
          <w:rFonts w:ascii="Wingdings" w:hAnsi="Wingdings" w:cs="Wingdings"/>
          <w:sz w:val="26"/>
          <w:szCs w:val="26"/>
          <w:lang w:val="en-US"/>
        </w:rPr>
        <w:sym w:font="Wingdings" w:char="F0A8"/>
      </w:r>
      <w:r>
        <w:t xml:space="preserve">   </w:t>
      </w:r>
      <w:r>
        <w:rPr>
          <w:noProof/>
        </w:rPr>
        <w:t>Не</w:t>
      </w:r>
      <w:r>
        <w:t xml:space="preserve">  </w:t>
      </w:r>
      <w:r>
        <w:rPr>
          <w:rFonts w:ascii="Wingdings" w:hAnsi="Wingdings" w:cs="Wingdings"/>
          <w:sz w:val="26"/>
          <w:szCs w:val="26"/>
          <w:lang w:val="en-US"/>
        </w:rPr>
        <w:sym w:font="Wingdings" w:char="F0FE"/>
      </w:r>
    </w:p>
    <w:p w:rsidR="000C0F34" w:rsidRDefault="000C0F34" w:rsidP="000C0F34"/>
    <w:p w:rsidR="000C0F34" w:rsidRDefault="0099452B" w:rsidP="000C0F34">
      <w:pPr>
        <w:rPr>
          <w:b/>
        </w:rPr>
      </w:pPr>
      <w:r w:rsidRPr="00ED0DE3">
        <w:rPr>
          <w:b/>
          <w:noProof/>
        </w:rPr>
        <w:t>В. Програмата инвестирала ли е средства на ЕС в EUSDR?</w:t>
      </w:r>
    </w:p>
    <w:p w:rsidR="000C0F34" w:rsidRDefault="000C0F34" w:rsidP="000C0F34"/>
    <w:p w:rsidR="000C0F34" w:rsidRDefault="0099452B" w:rsidP="000C0F34">
      <w:r>
        <w:rPr>
          <w:noProof/>
        </w:rPr>
        <w:t>Да</w:t>
      </w:r>
      <w:r>
        <w:t xml:space="preserve">  </w:t>
      </w:r>
      <w:r>
        <w:rPr>
          <w:rFonts w:ascii="Wingdings" w:hAnsi="Wingdings" w:cs="Wingdings"/>
          <w:sz w:val="26"/>
          <w:szCs w:val="26"/>
          <w:lang w:val="en-US"/>
        </w:rPr>
        <w:sym w:font="Wingdings" w:char="F0A8"/>
      </w:r>
      <w:r>
        <w:t xml:space="preserve">   </w:t>
      </w:r>
      <w:r>
        <w:rPr>
          <w:noProof/>
        </w:rPr>
        <w:t>Не</w:t>
      </w:r>
      <w:r>
        <w:t xml:space="preserve">  </w:t>
      </w:r>
      <w:r>
        <w:rPr>
          <w:rFonts w:ascii="Wingdings" w:hAnsi="Wingdings" w:cs="Wingdings"/>
          <w:sz w:val="26"/>
          <w:szCs w:val="26"/>
          <w:lang w:val="en-US"/>
        </w:rPr>
        <w:sym w:font="Wingdings" w:char="F0FE"/>
      </w:r>
    </w:p>
    <w:p w:rsidR="000C0F34" w:rsidRDefault="000C0F34" w:rsidP="000C0F34"/>
    <w:p w:rsidR="000C0F34" w:rsidRDefault="0099452B" w:rsidP="000C0F34">
      <w:r>
        <w:rPr>
          <w:noProof/>
        </w:rPr>
        <w:t>Планира ли се в бъдеще Вашата програма да инвестира в EUSDR? Моля, обяснете (1 конкретно изречение)</w:t>
      </w:r>
    </w:p>
    <w:p w:rsidR="000C0F34" w:rsidRDefault="000C0F34" w:rsidP="000C0F3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2B3815" w:rsidTr="00344C66">
        <w:tc>
          <w:tcPr>
            <w:tcW w:w="0" w:type="auto"/>
            <w:shd w:val="clear" w:color="auto" w:fill="auto"/>
          </w:tcPr>
          <w:p w:rsidR="000C0F34" w:rsidRDefault="000C0F34" w:rsidP="00344C66"/>
        </w:tc>
      </w:tr>
    </w:tbl>
    <w:p w:rsidR="000C0F34" w:rsidRDefault="000C0F34" w:rsidP="000C0F34"/>
    <w:p w:rsidR="000C0F34" w:rsidRPr="00E75E68" w:rsidRDefault="0099452B" w:rsidP="000C0F34">
      <w:pPr>
        <w:rPr>
          <w:b/>
        </w:rPr>
      </w:pPr>
      <w:r w:rsidRPr="00E75E68">
        <w:rPr>
          <w:b/>
          <w:noProof/>
        </w:rPr>
        <w:t>Г. Получени резултати по отношение на EUSDR (неприл. за 2016 г.)</w:t>
      </w:r>
    </w:p>
    <w:p w:rsidR="000C0F34" w:rsidRDefault="000C0F34" w:rsidP="000C0F3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2B3815" w:rsidTr="00344C66">
        <w:tc>
          <w:tcPr>
            <w:tcW w:w="0" w:type="auto"/>
            <w:shd w:val="clear" w:color="auto" w:fill="auto"/>
          </w:tcPr>
          <w:p w:rsidR="000C0F34" w:rsidRDefault="000C0F34" w:rsidP="00344C66"/>
        </w:tc>
      </w:tr>
    </w:tbl>
    <w:p w:rsidR="000C0F34" w:rsidRDefault="000C0F34" w:rsidP="000C0F34"/>
    <w:p w:rsidR="000C0F34" w:rsidRPr="00E75E68" w:rsidRDefault="0099452B" w:rsidP="000C0F34">
      <w:pPr>
        <w:rPr>
          <w:b/>
        </w:rPr>
      </w:pPr>
      <w:r w:rsidRPr="00E75E68">
        <w:rPr>
          <w:b/>
          <w:noProof/>
        </w:rPr>
        <w:t>Д. Допринася ли програмата Ви за постигането на целите, потвърдени през 2016 г. от националните координатори и координаторите на приоритетните области (качени на уебсайта на EUSDR)? (М</w:t>
      </w:r>
      <w:r w:rsidRPr="00E75E68">
        <w:rPr>
          <w:b/>
          <w:noProof/>
        </w:rPr>
        <w:t>оля, посочете целевите стойности)</w:t>
      </w:r>
    </w:p>
    <w:p w:rsidR="000C0F34" w:rsidRDefault="000C0F34" w:rsidP="000C0F3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2B3815" w:rsidTr="00344C66">
        <w:tc>
          <w:tcPr>
            <w:tcW w:w="0" w:type="auto"/>
            <w:shd w:val="clear" w:color="auto" w:fill="auto"/>
          </w:tcPr>
          <w:p w:rsidR="000C0F34" w:rsidRDefault="000C0F34" w:rsidP="00344C66"/>
        </w:tc>
      </w:tr>
    </w:tbl>
    <w:p w:rsidR="000C0F34" w:rsidRPr="00F70AEC" w:rsidRDefault="0099452B" w:rsidP="000C0F34">
      <w:pPr>
        <w:rPr>
          <w:sz w:val="8"/>
          <w:szCs w:val="8"/>
        </w:rPr>
      </w:pPr>
      <w:r>
        <w:br w:type="page"/>
      </w:r>
    </w:p>
    <w:p w:rsidR="000C0F34" w:rsidRPr="00E97D08" w:rsidRDefault="0099452B" w:rsidP="000C0F34">
      <w:r>
        <w:br w:type="page"/>
      </w:r>
    </w:p>
    <w:p w:rsidR="00D522C8" w:rsidRPr="000C0F34" w:rsidRDefault="00D522C8" w:rsidP="000C0F34">
      <w:pPr>
        <w:sectPr w:rsidR="00D522C8" w:rsidRPr="000C0F34">
          <w:pgSz w:w="12240" w:h="15840"/>
          <w:pgMar w:top="900" w:right="900" w:bottom="900" w:left="900" w:header="720" w:footer="720" w:gutter="0"/>
          <w:cols w:space="720"/>
        </w:sectPr>
      </w:pPr>
    </w:p>
    <w:p w:rsidR="002B3815" w:rsidRDefault="0099452B">
      <w:pPr>
        <w:pStyle w:val="Heading2"/>
      </w:pPr>
      <w:bookmarkStart w:id="26" w:name="_Toc256000171"/>
      <w:bookmarkStart w:id="27" w:name="_Toc256000089"/>
      <w:bookmarkStart w:id="28" w:name="_Toc256000007"/>
      <w:r>
        <w:t>Валутен курс, използван за преизчисляването в ГДИ (страни извън ЕС)</w:t>
      </w:r>
      <w:bookmarkEnd w:id="26"/>
      <w:bookmarkEnd w:id="27"/>
      <w:bookmarkEnd w:id="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2B3815">
        <w:tc>
          <w:tcPr>
            <w:tcW w:w="750" w:type="pct"/>
            <w:shd w:val="clear" w:color="auto" w:fill="auto"/>
            <w:vAlign w:val="center"/>
          </w:tcPr>
          <w:p w:rsidR="002B3815" w:rsidRDefault="0099452B">
            <w:pPr>
              <w:spacing w:before="0" w:after="240"/>
              <w:jc w:val="left"/>
              <w:rPr>
                <w:szCs w:val="24"/>
              </w:rPr>
            </w:pPr>
            <w:r>
              <w:rPr>
                <w:szCs w:val="24"/>
              </w:rPr>
              <w:t>Използваният валутен курс е този на ЕЦБ - 1 евро =1.9558 лева</w:t>
            </w:r>
          </w:p>
          <w:p w:rsidR="002B3815" w:rsidRDefault="002B3815">
            <w:pPr>
              <w:pStyle w:val="BodyText"/>
            </w:pPr>
          </w:p>
        </w:tc>
      </w:tr>
    </w:tbl>
    <w:p w:rsidR="002B3815" w:rsidRDefault="002B3815">
      <w:pPr>
        <w:sectPr w:rsidR="002B3815">
          <w:pgSz w:w="12240" w:h="15840"/>
          <w:pgMar w:top="900" w:right="900" w:bottom="900" w:left="900" w:header="720" w:footer="720" w:gutter="0"/>
          <w:cols w:space="720"/>
        </w:sectPr>
      </w:pPr>
    </w:p>
    <w:p w:rsidR="002B3815" w:rsidRDefault="0099452B">
      <w:pPr>
        <w:pStyle w:val="Heading1"/>
      </w:pPr>
      <w:bookmarkStart w:id="29" w:name="_Toc256000172"/>
      <w:bookmarkStart w:id="30" w:name="_Toc256000090"/>
      <w:bookmarkStart w:id="31" w:name="_Toc256000008"/>
      <w:r>
        <w:t>Напредъкът в изпълнението на плана за оценка</w:t>
      </w:r>
      <w:bookmarkEnd w:id="29"/>
      <w:bookmarkEnd w:id="30"/>
      <w:bookmarkEnd w:id="31"/>
    </w:p>
    <w:p w:rsidR="002B3815" w:rsidRDefault="0099452B">
      <w:pPr>
        <w:pStyle w:val="Heading2"/>
      </w:pPr>
      <w:bookmarkStart w:id="32" w:name="_Toc256000173"/>
      <w:bookmarkStart w:id="33" w:name="_Toc256000091"/>
      <w:bookmarkStart w:id="34" w:name="_Toc256000009"/>
      <w:r>
        <w:t xml:space="preserve">Описание на </w:t>
      </w:r>
      <w:r>
        <w:t>евентуални изменения, направени в плана за оценка на ПРСР през годината, със съответната обосновка</w:t>
      </w:r>
      <w:bookmarkEnd w:id="32"/>
      <w:bookmarkEnd w:id="33"/>
      <w:bookmarkEnd w:id="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2B3815">
        <w:tc>
          <w:tcPr>
            <w:tcW w:w="750" w:type="pct"/>
            <w:shd w:val="clear" w:color="auto" w:fill="auto"/>
            <w:vAlign w:val="center"/>
          </w:tcPr>
          <w:p w:rsidR="002B3815" w:rsidRDefault="0099452B">
            <w:pPr>
              <w:spacing w:before="0" w:after="240"/>
              <w:jc w:val="left"/>
              <w:rPr>
                <w:szCs w:val="24"/>
              </w:rPr>
            </w:pPr>
            <w:r>
              <w:rPr>
                <w:szCs w:val="24"/>
              </w:rPr>
              <w:t>1.a1.a1) Четвъртото изменение на ПРСР 2014-2020 г. е одобрено от ЕК на 18.05.2018 г. и по същество касае следните промени в Програмата:</w:t>
            </w:r>
          </w:p>
          <w:p w:rsidR="002B3815" w:rsidRDefault="0099452B" w:rsidP="0099452B">
            <w:pPr>
              <w:numPr>
                <w:ilvl w:val="0"/>
                <w:numId w:val="47"/>
              </w:numPr>
              <w:spacing w:before="240" w:after="0"/>
              <w:ind w:hanging="240"/>
              <w:jc w:val="left"/>
              <w:rPr>
                <w:szCs w:val="24"/>
              </w:rPr>
            </w:pPr>
            <w:r>
              <w:rPr>
                <w:szCs w:val="24"/>
              </w:rPr>
              <w:t>Прехвърляне на финанс</w:t>
            </w:r>
            <w:r>
              <w:rPr>
                <w:szCs w:val="24"/>
              </w:rPr>
              <w:t>ови средства в размер на 49.5 млн. евро публични разходи от Фокус област 5А към Фокус област 3А, както и промяна в заложените индикатори в съответствие с предложения трансфер на средства. В резултат на изменението публичните разходи, предвидени за ефективн</w:t>
            </w:r>
            <w:r>
              <w:rPr>
                <w:szCs w:val="24"/>
              </w:rPr>
              <w:t xml:space="preserve">о използване на водните ресурси в земеделието се намаляват от 105 млн. евро публични разходи или 3,6% от общия бюджет на 55,8 млн. евро публични разходи или 1.9 % от общия. Прехвърлянето на допълнителен финансов ресурс в рамките на Фокус област 3А е с цел </w:t>
            </w:r>
            <w:r>
              <w:rPr>
                <w:szCs w:val="24"/>
              </w:rPr>
              <w:t>постигане на по-голям ефект във фокус областта, включително по-добро изпълнение на заложеният индикатор за брой подпомогнати проекти за преработка/маркетинг на селскостопански продукти. Изменението е продиктувано и в резултат на допълнителен анализ на възм</w:t>
            </w:r>
            <w:r>
              <w:rPr>
                <w:szCs w:val="24"/>
              </w:rPr>
              <w:t>ожностите за инвестиции за напояване в страната по отношение на бъдещите кандидати и оптималният потенциал за обхват на поливните площи до края на 2023. Кандидатите, които УО определя като потенциални такива при прилагане на подмярка 4.3 са Сдружения за на</w:t>
            </w:r>
            <w:r>
              <w:rPr>
                <w:szCs w:val="24"/>
              </w:rPr>
              <w:t>появане /СН/ и Напоителни системи ЕАД /НС/, като съгласно данните от анализа обема поливни площи, които могат да бъдат обхванати до 2023 г. е около 35 000 ха, а необходимият бюджет за тези интервенции възлиза на 50,4 млн. евро, при средна инвестиционна сто</w:t>
            </w:r>
            <w:r>
              <w:rPr>
                <w:szCs w:val="24"/>
              </w:rPr>
              <w:t>йност на 1 ха от 1 440 евро;</w:t>
            </w:r>
          </w:p>
          <w:p w:rsidR="002B3815" w:rsidRDefault="0099452B" w:rsidP="0099452B">
            <w:pPr>
              <w:numPr>
                <w:ilvl w:val="0"/>
                <w:numId w:val="47"/>
              </w:numPr>
              <w:spacing w:before="0" w:after="0"/>
              <w:ind w:hanging="320"/>
              <w:jc w:val="left"/>
              <w:rPr>
                <w:szCs w:val="24"/>
              </w:rPr>
            </w:pPr>
            <w:r>
              <w:rPr>
                <w:szCs w:val="24"/>
              </w:rPr>
              <w:t>Редакционно изменение в мярка 11 „Биологично земеделие“ от ПРСР 2014 – 2020 г. с цел внасяне на яснота при отчитане на разпоредбите на Регламент 889/2008 по отношение на различията в преходните периоди на площи и отглежданите ж</w:t>
            </w:r>
            <w:r>
              <w:rPr>
                <w:szCs w:val="24"/>
              </w:rPr>
              <w:t>ивотни и възможността част от дажбата на животните да бъде от площи, които са в система на контрол, но все още са в период на преход;</w:t>
            </w:r>
          </w:p>
          <w:p w:rsidR="002B3815" w:rsidRDefault="0099452B" w:rsidP="0099452B">
            <w:pPr>
              <w:numPr>
                <w:ilvl w:val="0"/>
                <w:numId w:val="47"/>
              </w:numPr>
              <w:spacing w:before="0" w:after="0"/>
              <w:ind w:hanging="400"/>
              <w:jc w:val="left"/>
              <w:rPr>
                <w:szCs w:val="24"/>
              </w:rPr>
            </w:pPr>
            <w:r>
              <w:rPr>
                <w:szCs w:val="24"/>
              </w:rPr>
              <w:t xml:space="preserve">Изменение на списъка с общините, чиято територия е с висок и среден риск от горски пожари в подмярка 8.3 „Предотвратяване </w:t>
            </w:r>
            <w:r>
              <w:rPr>
                <w:szCs w:val="24"/>
              </w:rPr>
              <w:t>на щети по горите от горски пожари, природни бедствия и катастрофични събития, което е продиктувано от разработването на нова методика за класифициране на горските територии според риска от пожари, катооценката и картографирането им бяха част от изпълнение</w:t>
            </w:r>
            <w:r>
              <w:rPr>
                <w:szCs w:val="24"/>
              </w:rPr>
              <w:t>то на Предварителните условия по Програмата за развитието на селските райони;</w:t>
            </w:r>
          </w:p>
          <w:p w:rsidR="002B3815" w:rsidRDefault="0099452B" w:rsidP="0099452B">
            <w:pPr>
              <w:numPr>
                <w:ilvl w:val="0"/>
                <w:numId w:val="47"/>
              </w:numPr>
              <w:spacing w:before="0" w:after="240"/>
              <w:ind w:hanging="413"/>
              <w:jc w:val="left"/>
              <w:rPr>
                <w:szCs w:val="24"/>
              </w:rPr>
            </w:pPr>
            <w:r>
              <w:rPr>
                <w:szCs w:val="24"/>
              </w:rPr>
              <w:t>Редакционни изменения в текста на ПРСР 2014-2020 г., както следва:</w:t>
            </w:r>
          </w:p>
          <w:p w:rsidR="002B3815" w:rsidRDefault="0099452B" w:rsidP="0099452B">
            <w:pPr>
              <w:numPr>
                <w:ilvl w:val="0"/>
                <w:numId w:val="48"/>
              </w:numPr>
              <w:spacing w:before="240" w:after="0"/>
              <w:ind w:hanging="210"/>
              <w:jc w:val="left"/>
              <w:rPr>
                <w:szCs w:val="24"/>
              </w:rPr>
            </w:pPr>
            <w:r>
              <w:rPr>
                <w:szCs w:val="24"/>
              </w:rPr>
              <w:t>Навсякъде в ПРСР 2014-2020 г. Министерство на земеделието и храните се заменя с Министерство на земеделието, хр</w:t>
            </w:r>
            <w:r>
              <w:rPr>
                <w:szCs w:val="24"/>
              </w:rPr>
              <w:t>аните и горите. Промяната е във връзка с Решение прието от 44-то Народно събрание на Република България от 4 май 2017 г. за приемане на структурата на Министерския съвет на Република България  и за преобразуването на Министерство на земеделието и храните в</w:t>
            </w:r>
            <w:r>
              <w:rPr>
                <w:szCs w:val="24"/>
              </w:rPr>
              <w:t xml:space="preserve"> Министерство на земеделието, храните и горите;</w:t>
            </w:r>
          </w:p>
          <w:p w:rsidR="002B3815" w:rsidRDefault="0099452B" w:rsidP="0099452B">
            <w:pPr>
              <w:numPr>
                <w:ilvl w:val="0"/>
                <w:numId w:val="48"/>
              </w:numPr>
              <w:spacing w:before="0" w:after="0"/>
              <w:ind w:hanging="210"/>
              <w:jc w:val="left"/>
              <w:rPr>
                <w:szCs w:val="24"/>
              </w:rPr>
            </w:pPr>
            <w:r>
              <w:rPr>
                <w:szCs w:val="24"/>
              </w:rPr>
              <w:t xml:space="preserve">В текста на подмярка 4.1.2 „Инвестиции в земеделски стопанства по Тематична подпрограма за развитие на малки стопанства“ е отстранена техническа грешка – в критериите за подбор е посочено, че размерът на </w:t>
            </w:r>
            <w:r>
              <w:rPr>
                <w:szCs w:val="24"/>
              </w:rPr>
              <w:t>финансовата помощ се увеличава с 10 процентни пункта за проекти с инвестиции в райони с природни и други специфични ограничения съгласно член 33 от Регламент 1305/2013 г. Изменението се състои в препратка към коректния член от Регламента, а именно – чл. 31</w:t>
            </w:r>
            <w:r>
              <w:rPr>
                <w:szCs w:val="24"/>
              </w:rPr>
              <w:t>;</w:t>
            </w:r>
          </w:p>
          <w:p w:rsidR="002B3815" w:rsidRDefault="0099452B" w:rsidP="0099452B">
            <w:pPr>
              <w:numPr>
                <w:ilvl w:val="0"/>
                <w:numId w:val="48"/>
              </w:numPr>
              <w:spacing w:before="0" w:after="240"/>
              <w:ind w:hanging="210"/>
              <w:jc w:val="left"/>
              <w:rPr>
                <w:szCs w:val="24"/>
              </w:rPr>
            </w:pPr>
            <w:r>
              <w:rPr>
                <w:szCs w:val="24"/>
              </w:rPr>
              <w:t>В Раздел 15 „Организация за изпълнението на програмата“ е актуализирана информацията за органа, изпълняващ функции на Сертифициращ орган, а именно – Изпълнителна Агенция „Сертификационен одит на средствата от европейските земеделски фондове“.</w:t>
            </w:r>
          </w:p>
          <w:p w:rsidR="002B3815" w:rsidRDefault="0099452B" w:rsidP="0099452B">
            <w:pPr>
              <w:numPr>
                <w:ilvl w:val="0"/>
                <w:numId w:val="49"/>
              </w:numPr>
              <w:spacing w:before="240" w:after="240"/>
              <w:ind w:hanging="240"/>
              <w:jc w:val="left"/>
              <w:rPr>
                <w:szCs w:val="24"/>
              </w:rPr>
            </w:pPr>
            <w:r>
              <w:rPr>
                <w:szCs w:val="24"/>
              </w:rPr>
              <w:t>Промени в т</w:t>
            </w:r>
            <w:r>
              <w:rPr>
                <w:szCs w:val="24"/>
              </w:rPr>
              <w:t>екста на мярка 7 „Основни услуги и обновяване на селата в селските райони“, както следва:</w:t>
            </w:r>
          </w:p>
          <w:p w:rsidR="002B3815" w:rsidRDefault="0099452B" w:rsidP="0099452B">
            <w:pPr>
              <w:numPr>
                <w:ilvl w:val="0"/>
                <w:numId w:val="50"/>
              </w:numPr>
              <w:spacing w:before="240" w:after="0"/>
              <w:ind w:hanging="210"/>
              <w:jc w:val="left"/>
              <w:rPr>
                <w:szCs w:val="24"/>
              </w:rPr>
            </w:pPr>
            <w:r>
              <w:rPr>
                <w:szCs w:val="24"/>
              </w:rPr>
              <w:t>В подраздел 8.2.5.3.1.6 „Условия за допустимост“ от подмярка 7.2 „Инвестиции в създаването, подобряването или разширяването на всички видове малка по мащаби инфрастру</w:t>
            </w:r>
            <w:r>
              <w:rPr>
                <w:szCs w:val="24"/>
              </w:rPr>
              <w:t>ктура“ е въведено ограничение относно кандидатстването на общини с одобрени проекти от проведен предходен прием на заявления за подпомагане по подмярката, като мотивите за направеното предложение са свързани основно с осигуряването на равен достъп до възмо</w:t>
            </w:r>
            <w:r>
              <w:rPr>
                <w:szCs w:val="24"/>
              </w:rPr>
              <w:t>жности за финансиране на всички общини на територията на селските райони на страната предвид ограничения финансов ресурс за провеждането на втори прием по подмярката. Изменението е продиктувано от необходимостта от равномерно разпределяне на ограничения ос</w:t>
            </w:r>
            <w:r>
              <w:rPr>
                <w:szCs w:val="24"/>
              </w:rPr>
              <w:t>татъчен ресурс, както и с цел ефективното и ефикасно насочване на финансовата помощ за удовлетворяване на все още големите инвестиционни нужди в общините на територията на селските райони на страната се предлага въвеждането на настоящото ограничение; </w:t>
            </w:r>
          </w:p>
          <w:p w:rsidR="002B3815" w:rsidRDefault="0099452B" w:rsidP="0099452B">
            <w:pPr>
              <w:numPr>
                <w:ilvl w:val="0"/>
                <w:numId w:val="50"/>
              </w:numPr>
              <w:spacing w:before="0" w:after="240"/>
              <w:ind w:hanging="210"/>
              <w:jc w:val="left"/>
              <w:rPr>
                <w:szCs w:val="24"/>
              </w:rPr>
            </w:pPr>
            <w:r>
              <w:rPr>
                <w:szCs w:val="24"/>
              </w:rPr>
              <w:t xml:space="preserve">В </w:t>
            </w:r>
            <w:r>
              <w:rPr>
                <w:szCs w:val="24"/>
              </w:rPr>
              <w:t xml:space="preserve">подраздел 8.2.5.3.1.2. „Вид подкрепа“ на мярка 7 „Основни услуги и обновяване на селата в селските райони“  се разширява обхвата на една от допустимите дейности относно общински сгради, в които се предоставят обществени услуги с цел подобряване на тяхната </w:t>
            </w:r>
            <w:r>
              <w:rPr>
                <w:szCs w:val="24"/>
              </w:rPr>
              <w:t xml:space="preserve">енергийна ефективност, тъй като изпълнението на мерки за енергийна ефективност в административни сгради на общинската администрация се предхожда от извършено задължително обследване за енергийна ефективност на съществуващите сгради, а задължителните мерки </w:t>
            </w:r>
            <w:r>
              <w:rPr>
                <w:szCs w:val="24"/>
              </w:rPr>
              <w:t>и предписания в извършеното обследване няма да могат да бъдат спазени в цялост, ако не се закупи съответното оборудване или обзавеждане, необходимо за постигане на целите на енергийната ефективност.</w:t>
            </w:r>
          </w:p>
          <w:p w:rsidR="002B3815" w:rsidRDefault="0099452B" w:rsidP="0099452B">
            <w:pPr>
              <w:numPr>
                <w:ilvl w:val="0"/>
                <w:numId w:val="51"/>
              </w:numPr>
              <w:spacing w:before="240" w:after="0"/>
              <w:ind w:hanging="240"/>
              <w:jc w:val="left"/>
              <w:rPr>
                <w:szCs w:val="24"/>
              </w:rPr>
            </w:pPr>
            <w:r>
              <w:rPr>
                <w:szCs w:val="24"/>
              </w:rPr>
              <w:t>Промени в текста на подмярка 6.4.1 „Инвестиции в подкрепа</w:t>
            </w:r>
            <w:r>
              <w:rPr>
                <w:szCs w:val="24"/>
              </w:rPr>
              <w:t xml:space="preserve"> на неземеделски дейности“, където в Подраздел 8.2.4.3.4.8. </w:t>
            </w:r>
            <w:r>
              <w:rPr>
                <w:i/>
                <w:iCs/>
                <w:szCs w:val="24"/>
              </w:rPr>
              <w:t>„(Приложими) суми и проценти на предоставяната подкрепа</w:t>
            </w:r>
            <w:r>
              <w:rPr>
                <w:szCs w:val="24"/>
              </w:rPr>
              <w:t xml:space="preserve">“ се намалява максималният процент на предоставяне на финансова помощ на бенефициенти по подмярка 6.4.1. Мотивите за направеното предложение </w:t>
            </w:r>
            <w:r>
              <w:rPr>
                <w:szCs w:val="24"/>
              </w:rPr>
              <w:t>са свързани основно с устойчивостта на проектните предложения. Високият интензитет на помощта мотивира по-голям брой кандидати, но базирайки се на опита от програмен период 2007-2013 г. тяхната реализация не винаги е успешна;</w:t>
            </w:r>
          </w:p>
          <w:p w:rsidR="002B3815" w:rsidRDefault="0099452B" w:rsidP="0099452B">
            <w:pPr>
              <w:numPr>
                <w:ilvl w:val="0"/>
                <w:numId w:val="51"/>
              </w:numPr>
              <w:spacing w:before="0" w:after="0"/>
              <w:ind w:hanging="320"/>
              <w:jc w:val="left"/>
              <w:rPr>
                <w:szCs w:val="24"/>
              </w:rPr>
            </w:pPr>
            <w:r>
              <w:rPr>
                <w:szCs w:val="24"/>
              </w:rPr>
              <w:t>Изменение в текста на ПРСР 201</w:t>
            </w:r>
            <w:r>
              <w:rPr>
                <w:szCs w:val="24"/>
              </w:rPr>
              <w:t>4-2020 г, касаещо синхронизиране със Закона за управление на средствата от Европейските структурни и инвестиционни фондове по отношение възможността условията за предоставяне на финансова помощ и изпълнение на одобрените проекти да се определят в насоки за</w:t>
            </w:r>
            <w:r>
              <w:rPr>
                <w:szCs w:val="24"/>
              </w:rPr>
              <w:t xml:space="preserve"> кандидатстване или друг документ;</w:t>
            </w:r>
          </w:p>
          <w:p w:rsidR="002B3815" w:rsidRDefault="0099452B" w:rsidP="0099452B">
            <w:pPr>
              <w:numPr>
                <w:ilvl w:val="0"/>
                <w:numId w:val="51"/>
              </w:numPr>
              <w:spacing w:before="0" w:after="0"/>
              <w:ind w:hanging="400"/>
              <w:jc w:val="left"/>
              <w:rPr>
                <w:szCs w:val="24"/>
              </w:rPr>
            </w:pPr>
            <w:r>
              <w:rPr>
                <w:szCs w:val="24"/>
              </w:rPr>
              <w:t>Изменение в Подраздел 15.1.2.2. „Процедури за разглеждане на жалби“ по отношение Механизъм за разглеждане на жалби във връзка с чл. 74, т. 3 на Регламент 1303/2013 във връзка с чл. 74, т. 3 от Регламент 1303/2013 г. и фак</w:t>
            </w:r>
            <w:r>
              <w:rPr>
                <w:szCs w:val="24"/>
              </w:rPr>
              <w:t>та че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rsidR="002B3815" w:rsidRDefault="0099452B" w:rsidP="0099452B">
            <w:pPr>
              <w:numPr>
                <w:ilvl w:val="0"/>
                <w:numId w:val="51"/>
              </w:numPr>
              <w:spacing w:before="0" w:after="0"/>
              <w:ind w:hanging="413"/>
              <w:jc w:val="left"/>
              <w:rPr>
                <w:szCs w:val="24"/>
              </w:rPr>
            </w:pPr>
            <w:r>
              <w:rPr>
                <w:szCs w:val="24"/>
              </w:rPr>
              <w:t>Промяна в текста на мярка 14 „Хуманно отношение към животни“ поради изменение в приложимото национално з</w:t>
            </w:r>
            <w:r>
              <w:rPr>
                <w:szCs w:val="24"/>
              </w:rPr>
              <w:t>аконодателство определящо базовите изисквания за хуманно отношение към животните по отношение на дейност „Осигуряване на свободна подова площ 10 % над минималния стандарт“ от подмярка 14.1 „Плащания за хуманно отношение към животните от сектор ЕПЖ“. Измене</w:t>
            </w:r>
            <w:r>
              <w:rPr>
                <w:szCs w:val="24"/>
              </w:rPr>
              <w:t>нието е продиктувано от установените минимални изисквания за площ за едно животно за крави и биволици над 24 м. възраст регламентирани в Наредба № 44 от 20.04.2006 г. за ветеринарномедицинските изисквания към животновъдните обекти. Във връзка с промените о</w:t>
            </w:r>
            <w:r>
              <w:rPr>
                <w:szCs w:val="24"/>
              </w:rPr>
              <w:t>т 2016 г. в Наредба №44 от 20.04.2006 г. за ветеринарномедицинските изисквания към животновъдните обекти са определени минимални изисквания за площ за крави и биволици над 24 м. възраст;</w:t>
            </w:r>
          </w:p>
          <w:p w:rsidR="002B3815" w:rsidRDefault="0099452B" w:rsidP="0099452B">
            <w:pPr>
              <w:numPr>
                <w:ilvl w:val="0"/>
                <w:numId w:val="51"/>
              </w:numPr>
              <w:spacing w:before="0" w:after="0"/>
              <w:ind w:hanging="333"/>
              <w:jc w:val="left"/>
              <w:rPr>
                <w:szCs w:val="24"/>
              </w:rPr>
            </w:pPr>
            <w:r>
              <w:rPr>
                <w:szCs w:val="24"/>
              </w:rPr>
              <w:t>Изменение в текста на мярка 13 „Плащания за райони, изправени пред пр</w:t>
            </w:r>
            <w:r>
              <w:rPr>
                <w:szCs w:val="24"/>
              </w:rPr>
              <w:t>иродни или други специфични ограничения“ свързано с Регламента ОМНИБУС за удължаване на крайната дата за прилагане на обхвата на новите райони, засегнати от ограничения, различни от планинските от 2018 на 2019 г., с което се променя текста на секция „</w:t>
            </w:r>
            <w:r>
              <w:rPr>
                <w:i/>
                <w:iCs/>
                <w:szCs w:val="24"/>
              </w:rPr>
              <w:t>8.2.1</w:t>
            </w:r>
            <w:r>
              <w:rPr>
                <w:i/>
                <w:iCs/>
                <w:szCs w:val="24"/>
              </w:rPr>
              <w:t xml:space="preserve">1.7. </w:t>
            </w:r>
            <w:r>
              <w:rPr>
                <w:szCs w:val="24"/>
              </w:rPr>
              <w:t>Друга важна информация, необходима за по-доброто разбиране и прилагане на мярката“, в частта „Преходна схема за райони, които губят статута си на райони с ограничения“, както следва: „След като новото определяне на границите на районите с природни огр</w:t>
            </w:r>
            <w:r>
              <w:rPr>
                <w:szCs w:val="24"/>
              </w:rPr>
              <w:t>аничения, различни от планинските райони, бъде завършено, най-късно в края на 2018 г., площите, определени в тази категория, които попадат в стария обхват, но не попадат в новия, влизат в преходна схема. Бенефициентите в тези райони ще получават максимум 8</w:t>
            </w:r>
            <w:r>
              <w:rPr>
                <w:szCs w:val="24"/>
              </w:rPr>
              <w:t>0% от средната стойност на плащанията, които са получили в рамките на програмата за периода 2007-2013 г. Плащанията ще приключват поетапно като намаляват прогресивно до 2020 г., с максимум 20% от плащанията по Програмата за периода 2007-2013 г.“;</w:t>
            </w:r>
          </w:p>
          <w:p w:rsidR="002B3815" w:rsidRDefault="0099452B" w:rsidP="0099452B">
            <w:pPr>
              <w:numPr>
                <w:ilvl w:val="0"/>
                <w:numId w:val="51"/>
              </w:numPr>
              <w:spacing w:before="0" w:after="0"/>
              <w:ind w:hanging="413"/>
              <w:jc w:val="left"/>
              <w:rPr>
                <w:szCs w:val="24"/>
              </w:rPr>
            </w:pPr>
            <w:r>
              <w:rPr>
                <w:szCs w:val="24"/>
              </w:rPr>
              <w:t>Изменение</w:t>
            </w:r>
            <w:r>
              <w:rPr>
                <w:szCs w:val="24"/>
              </w:rPr>
              <w:t xml:space="preserve"> и допълнение на Приложение  № 6 към раздел 15.2 „Предлаган състав на мониторинговия комитет във връзка с промени в  Постановление № 79 на Министерския съвет от 2014 г. за създаване на Комитети за наблюдение на Споразумението за партньорство на Република Б</w:t>
            </w:r>
            <w:r>
              <w:rPr>
                <w:szCs w:val="24"/>
              </w:rPr>
              <w:t>ългария и на програмите, съфинансирани от ЕСИФ, за програмен период 2014-2020 г. (ПМС №79/2014). Изменението се състои във включване на нови членове в състава на мониторинговия комитет както следва: член на Съюза за стопанска инициатива като член с право н</w:t>
            </w:r>
            <w:r>
              <w:rPr>
                <w:szCs w:val="24"/>
              </w:rPr>
              <w:t>а глас в състава на КН на ПРСР (2014-2020), експерти от дирекция „Политики по околната среда“ в състава на КН на ПРСР (2014-2020), представители  на Държавна агенция „Електронно управление“  за членове в състава на КН на ПРСР (2014-2020) и представители на</w:t>
            </w:r>
            <w:r>
              <w:rPr>
                <w:szCs w:val="24"/>
              </w:rPr>
              <w:t xml:space="preserve"> Изпълнителна агенция „Сертификационен одит на средствата от европейските земеделски фондове“ като наблюдатели с право на съвещателен глас в КН на ПРСР (2014-2020);</w:t>
            </w:r>
          </w:p>
          <w:p w:rsidR="002B3815" w:rsidRDefault="0099452B" w:rsidP="0099452B">
            <w:pPr>
              <w:numPr>
                <w:ilvl w:val="0"/>
                <w:numId w:val="51"/>
              </w:numPr>
              <w:spacing w:before="0" w:after="0"/>
              <w:ind w:hanging="493"/>
              <w:jc w:val="left"/>
              <w:rPr>
                <w:szCs w:val="24"/>
              </w:rPr>
            </w:pPr>
            <w:r>
              <w:rPr>
                <w:szCs w:val="24"/>
              </w:rPr>
              <w:t xml:space="preserve">Изменение във финансовия план на мярка 10 „Агроекология и климат“ и мярка 2 „Консултантски </w:t>
            </w:r>
            <w:r>
              <w:rPr>
                <w:szCs w:val="24"/>
              </w:rPr>
              <w:t>услуги, услуги по управление на стопанство и услуги по заместване в стопанство“  с цел изравняване на извършените разходи по фокус области. Изменението е извършено във връзка с надплатени суми по вече поети задължения през трето тримесечие на 2017 г. спрям</w:t>
            </w:r>
            <w:r>
              <w:rPr>
                <w:szCs w:val="24"/>
              </w:rPr>
              <w:t>о финансовия план на фокус области 5Д и 5В, за Мярка 10 „Агроекология и климат“, поради което сума в размер на 3 000 000 евро от ЕЗФРСР (4 000 000 евро публични средства, при 75% финансиране от ЕЗФРСР ) се прехвърля от Приоритет 4, мярка 10 „Агроекология и</w:t>
            </w:r>
            <w:r>
              <w:rPr>
                <w:szCs w:val="24"/>
              </w:rPr>
              <w:t xml:space="preserve"> климат“ в Приоритет 5, Фокус област 5Г, мярка 10 „Агроекология и климат“ – с цел изравняване на извършените разходи по мярката за фокус област 5Г. Освен в глава 10 „Финансов план“, промени се предвижда да бъдат нанесени съответно и в раздел 11 „План на по</w:t>
            </w:r>
            <w:r>
              <w:rPr>
                <w:szCs w:val="24"/>
              </w:rPr>
              <w:t>казателите“, включително и в таблица в раздел 11.4. „Помощна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 Също так</w:t>
            </w:r>
            <w:r>
              <w:rPr>
                <w:szCs w:val="24"/>
              </w:rPr>
              <w:t>а, с цел изравняване на извършените разходи по Мярка 2 „Консултантски услуги, управление на стопанството и услуги по заместване в стопанството“, от Приоритет 4 се предвижда да бъде прехвърлена сума в размер на 59 500 евро от ЕЗФРСР (70 000 евро публични ср</w:t>
            </w:r>
            <w:r>
              <w:rPr>
                <w:szCs w:val="24"/>
              </w:rPr>
              <w:t>едства, при 85% финансиране от ЕЗФРСР)  към фокус област 5В;</w:t>
            </w:r>
          </w:p>
          <w:p w:rsidR="002B3815" w:rsidRDefault="0099452B" w:rsidP="0099452B">
            <w:pPr>
              <w:numPr>
                <w:ilvl w:val="0"/>
                <w:numId w:val="51"/>
              </w:numPr>
              <w:spacing w:before="0" w:after="0"/>
              <w:ind w:hanging="573"/>
              <w:jc w:val="left"/>
              <w:rPr>
                <w:szCs w:val="24"/>
              </w:rPr>
            </w:pPr>
            <w:r>
              <w:rPr>
                <w:szCs w:val="24"/>
              </w:rPr>
              <w:t xml:space="preserve">Изменение на индикатори от фокус област 3А и 5А от подмярка 4.2 „Инвестиции в преработка/маркетинг на селскостопански продукти“ по ПРСР 2014-2020 по отношение промяна в броя операции за </w:t>
            </w:r>
            <w:r>
              <w:rPr>
                <w:szCs w:val="24"/>
              </w:rPr>
              <w:t>преработка/маркетинг на селскостопански продукти в рамките на фокус област 3А а именно стойност: 450 операции. Изменението е продиктувано от факта, че предвид намаления таван на разходите по подмярка 4.2 в рамките на трето изменение на ПРСР и резултатите о</w:t>
            </w:r>
            <w:r>
              <w:rPr>
                <w:szCs w:val="24"/>
              </w:rPr>
              <w:t>т първия период на прием се очаква средния размер на инвестиционните разходи в рамките на предстоящия период на прием за един проект да възлиза на 1 млн. евро, респективно средния размер на одобрената финансова помощ за един проект да възлиза на 500 хил ев</w:t>
            </w:r>
            <w:r>
              <w:rPr>
                <w:szCs w:val="24"/>
              </w:rPr>
              <w:t>ро (пропорционално спрямо резултатите от първи прием), от което, следва че въз основа на остатъчния финансов ресурс в размер на 96.5 млн. евро, предвиден в рамките на ФО 3А се очаква реализиране на допълнителни 187 проекта по подмярка 4.2, които да доприне</w:t>
            </w:r>
            <w:r>
              <w:rPr>
                <w:szCs w:val="24"/>
              </w:rPr>
              <w:t>сат за изпълнение на целите в рамките на фокус област 3А;</w:t>
            </w:r>
          </w:p>
          <w:p w:rsidR="002B3815" w:rsidRDefault="0099452B" w:rsidP="0099452B">
            <w:pPr>
              <w:numPr>
                <w:ilvl w:val="0"/>
                <w:numId w:val="51"/>
              </w:numPr>
              <w:spacing w:before="0" w:after="240"/>
              <w:ind w:hanging="413"/>
              <w:jc w:val="left"/>
              <w:rPr>
                <w:szCs w:val="24"/>
              </w:rPr>
            </w:pPr>
            <w:r>
              <w:rPr>
                <w:szCs w:val="24"/>
              </w:rPr>
              <w:t>Изменение в Раздел 9 „План за оценки“ от ПРСР 2014-2020 г. на база получен коментар от ЕК по отношение на плана за оценки, който препоръчва „</w:t>
            </w:r>
            <w:r>
              <w:rPr>
                <w:i/>
                <w:iCs/>
                <w:szCs w:val="24"/>
              </w:rPr>
              <w:t>да се актуализира планът за оценка, тъй като някои включе</w:t>
            </w:r>
            <w:r>
              <w:rPr>
                <w:i/>
                <w:iCs/>
                <w:szCs w:val="24"/>
              </w:rPr>
              <w:t>ни при приемането дейности вече не са актуални</w:t>
            </w:r>
            <w:r>
              <w:rPr>
                <w:szCs w:val="24"/>
              </w:rPr>
              <w:t xml:space="preserve">“.  В следствие на препоръката и с цел актуализация на Раздел 9 „План за оценки“ от ПРСР (2014-2020 г.) от т. 9.5. „График“ отпадат следните дейности, които не са актуални от гледна точка на времевия период за </w:t>
            </w:r>
            <w:r>
              <w:rPr>
                <w:szCs w:val="24"/>
              </w:rPr>
              <w:t>тяхното извършване:</w:t>
            </w:r>
          </w:p>
          <w:p w:rsidR="002B3815" w:rsidRDefault="0099452B" w:rsidP="0099452B">
            <w:pPr>
              <w:numPr>
                <w:ilvl w:val="0"/>
                <w:numId w:val="52"/>
              </w:numPr>
              <w:spacing w:before="240" w:after="0"/>
              <w:ind w:hanging="210"/>
              <w:jc w:val="left"/>
              <w:rPr>
                <w:szCs w:val="24"/>
              </w:rPr>
            </w:pPr>
            <w:r>
              <w:rPr>
                <w:szCs w:val="24"/>
              </w:rPr>
              <w:t>„Извършване на оценка на ефективността от прилагането на Комуникационния план на ПРСР (2014-2020)“;</w:t>
            </w:r>
          </w:p>
          <w:p w:rsidR="002B3815" w:rsidRDefault="0099452B" w:rsidP="0099452B">
            <w:pPr>
              <w:numPr>
                <w:ilvl w:val="0"/>
                <w:numId w:val="52"/>
              </w:numPr>
              <w:spacing w:before="0" w:after="0"/>
              <w:ind w:hanging="210"/>
              <w:jc w:val="left"/>
              <w:rPr>
                <w:szCs w:val="24"/>
              </w:rPr>
            </w:pPr>
            <w:r>
              <w:rPr>
                <w:szCs w:val="24"/>
              </w:rPr>
              <w:t>„Оценка на информационните системи за наблюдение и за индикатори на ПРСР (2014-2020)“;</w:t>
            </w:r>
          </w:p>
          <w:p w:rsidR="002B3815" w:rsidRDefault="0099452B" w:rsidP="0099452B">
            <w:pPr>
              <w:numPr>
                <w:ilvl w:val="0"/>
                <w:numId w:val="52"/>
              </w:numPr>
              <w:spacing w:before="0" w:after="0"/>
              <w:ind w:hanging="210"/>
              <w:jc w:val="left"/>
              <w:rPr>
                <w:szCs w:val="24"/>
              </w:rPr>
            </w:pPr>
            <w:r>
              <w:rPr>
                <w:szCs w:val="24"/>
              </w:rPr>
              <w:t>„Извършване на цялостна оценка на ПРСР (2014-2020</w:t>
            </w:r>
            <w:r>
              <w:rPr>
                <w:szCs w:val="24"/>
              </w:rPr>
              <w:t>) за периода от одобрение на ПРСР до края на 2016 г.“;</w:t>
            </w:r>
          </w:p>
          <w:p w:rsidR="002B3815" w:rsidRDefault="0099452B" w:rsidP="0099452B">
            <w:pPr>
              <w:numPr>
                <w:ilvl w:val="0"/>
                <w:numId w:val="52"/>
              </w:numPr>
              <w:spacing w:before="0" w:after="0"/>
              <w:ind w:hanging="210"/>
              <w:jc w:val="left"/>
              <w:rPr>
                <w:szCs w:val="24"/>
              </w:rPr>
            </w:pPr>
            <w:r>
              <w:rPr>
                <w:szCs w:val="24"/>
              </w:rPr>
              <w:t>„Оценка на прилагането на финансови инструменти за периода от одобрение на ПРСР (2014-2020) до края на 2017 г.“;</w:t>
            </w:r>
          </w:p>
          <w:p w:rsidR="002B3815" w:rsidRDefault="0099452B" w:rsidP="0099452B">
            <w:pPr>
              <w:numPr>
                <w:ilvl w:val="0"/>
                <w:numId w:val="52"/>
              </w:numPr>
              <w:spacing w:before="0" w:after="240"/>
              <w:ind w:hanging="210"/>
              <w:jc w:val="left"/>
              <w:rPr>
                <w:szCs w:val="24"/>
              </w:rPr>
            </w:pPr>
            <w:r>
              <w:rPr>
                <w:szCs w:val="24"/>
              </w:rPr>
              <w:t>„Извършване на оценка на ефективността, ефикасността и въздействието от работата на НСМ“</w:t>
            </w:r>
            <w:r>
              <w:rPr>
                <w:szCs w:val="24"/>
              </w:rPr>
              <w:t>.</w:t>
            </w:r>
          </w:p>
          <w:p w:rsidR="002B3815" w:rsidRDefault="0099452B" w:rsidP="0099452B">
            <w:pPr>
              <w:numPr>
                <w:ilvl w:val="0"/>
                <w:numId w:val="53"/>
              </w:numPr>
              <w:spacing w:before="240" w:after="240"/>
              <w:ind w:hanging="240"/>
              <w:jc w:val="left"/>
              <w:rPr>
                <w:szCs w:val="24"/>
              </w:rPr>
            </w:pPr>
            <w:r>
              <w:rPr>
                <w:szCs w:val="24"/>
              </w:rPr>
              <w:t>Изменение на Мярка 10 „Агроекология и климат“ и мярка 11 „Биологично земеделие“, касаещо допълнение на текстовете на мерки 10 и 11 в програмата, като в секциите „Условия за допустимост“ се допълва следния текст: „В случай на изменение на практиките, посо</w:t>
            </w:r>
            <w:r>
              <w:rPr>
                <w:szCs w:val="24"/>
              </w:rPr>
              <w:t>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w:t>
            </w:r>
            <w:r>
              <w:rPr>
                <w:szCs w:val="24"/>
              </w:rPr>
              <w:t>адане сума като фиксирана средна сума, приложима към всички заинтересовани бенефициери, там където е необходимо“;</w:t>
            </w:r>
          </w:p>
          <w:p w:rsidR="002B3815" w:rsidRDefault="0099452B">
            <w:pPr>
              <w:spacing w:before="240" w:after="240"/>
              <w:jc w:val="left"/>
              <w:rPr>
                <w:szCs w:val="24"/>
              </w:rPr>
            </w:pPr>
            <w:r>
              <w:rPr>
                <w:szCs w:val="24"/>
              </w:rPr>
              <w:t>Промяна в текста на подмярка 6.1 „Стартова помощ за млади земеделски стопани“ продиктувано от предстоящото влизане в сила на Регламент за изме</w:t>
            </w:r>
            <w:r>
              <w:rPr>
                <w:szCs w:val="24"/>
              </w:rPr>
              <w:t>нение на Регламент 1305/2013 и факта че заявленията за подпомагане на млади земеделски стопани могат да бъде подадени най-късно 24 месеца след датата на установяването им, а не както е към настоящия момент „Кандидатите могат да заявят подпомагане не по-къс</w:t>
            </w:r>
            <w:r>
              <w:rPr>
                <w:szCs w:val="24"/>
              </w:rPr>
              <w:t>но от 18 месеца, считано от датата, на която е стартирало създаването на стопанството“. В тази връзка в Програмата за развитие на селските райони за периода 2014-2020 и по-конкретно подмярка 6.1 „Стартова помощ за млади земеделски стопани“ е направено изме</w:t>
            </w:r>
            <w:r>
              <w:rPr>
                <w:szCs w:val="24"/>
              </w:rPr>
              <w:t>нение като новият срок от 24 месеца е по-благоприятен от предвидения в ПРСР 18-месечен срок.</w:t>
            </w:r>
          </w:p>
          <w:p w:rsidR="002B3815" w:rsidRDefault="002B3815">
            <w:pPr>
              <w:pStyle w:val="BodyText"/>
            </w:pPr>
          </w:p>
        </w:tc>
      </w:tr>
    </w:tbl>
    <w:p w:rsidR="002B3815" w:rsidRDefault="0099452B">
      <w:pPr>
        <w:pStyle w:val="Heading2"/>
      </w:pPr>
      <w:bookmarkStart w:id="35" w:name="_Toc256000174"/>
      <w:bookmarkStart w:id="36" w:name="_Toc256000092"/>
      <w:bookmarkStart w:id="37" w:name="_Toc256000010"/>
      <w:r>
        <w:t>Описание на предприетите дейности за оценка през годината (във връзка с раздел 3 на плана за оценка)</w:t>
      </w:r>
      <w:bookmarkEnd w:id="35"/>
      <w:bookmarkEnd w:id="36"/>
      <w:bookmarkEnd w:id="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2B3815">
        <w:tc>
          <w:tcPr>
            <w:tcW w:w="750" w:type="pct"/>
            <w:shd w:val="clear" w:color="auto" w:fill="auto"/>
            <w:vAlign w:val="center"/>
          </w:tcPr>
          <w:p w:rsidR="002B3815" w:rsidRDefault="0099452B" w:rsidP="0099452B">
            <w:pPr>
              <w:numPr>
                <w:ilvl w:val="0"/>
                <w:numId w:val="54"/>
              </w:numPr>
              <w:spacing w:before="0" w:after="240"/>
              <w:ind w:hanging="210"/>
              <w:jc w:val="left"/>
              <w:rPr>
                <w:szCs w:val="24"/>
              </w:rPr>
            </w:pPr>
            <w:r>
              <w:rPr>
                <w:szCs w:val="24"/>
              </w:rPr>
              <w:t xml:space="preserve">орган на ПРСР с четвъртото изменение на ПРСР 2014-2020 г. </w:t>
            </w:r>
            <w:r>
              <w:rPr>
                <w:szCs w:val="24"/>
              </w:rPr>
              <w:t>предприе мерки за актуализация на плана за оценка във връзка получен коментар от ЕК, който препоръчва „</w:t>
            </w:r>
            <w:r>
              <w:rPr>
                <w:i/>
                <w:iCs/>
                <w:szCs w:val="24"/>
              </w:rPr>
              <w:t>да се актуализира планът за оценка, тъй като някои включени при приемането дейности вече не са актуални</w:t>
            </w:r>
            <w:r>
              <w:rPr>
                <w:szCs w:val="24"/>
              </w:rPr>
              <w:t xml:space="preserve">“. С изменението отпадат следните дейности, които </w:t>
            </w:r>
            <w:r>
              <w:rPr>
                <w:szCs w:val="24"/>
              </w:rPr>
              <w:t>не са актуални от гледна точка на времевия период за тяхното извършване:</w:t>
            </w:r>
          </w:p>
          <w:p w:rsidR="002B3815" w:rsidRDefault="0099452B" w:rsidP="0099452B">
            <w:pPr>
              <w:numPr>
                <w:ilvl w:val="0"/>
                <w:numId w:val="55"/>
              </w:numPr>
              <w:spacing w:before="240" w:after="0"/>
              <w:ind w:hanging="210"/>
              <w:jc w:val="left"/>
              <w:rPr>
                <w:szCs w:val="24"/>
              </w:rPr>
            </w:pPr>
            <w:r>
              <w:rPr>
                <w:szCs w:val="24"/>
              </w:rPr>
              <w:t>„Извършване на оценка на ефективността от прилагането на Комуникационния план на ПРСР (2014-2020)“;</w:t>
            </w:r>
          </w:p>
          <w:p w:rsidR="002B3815" w:rsidRDefault="0099452B" w:rsidP="0099452B">
            <w:pPr>
              <w:numPr>
                <w:ilvl w:val="0"/>
                <w:numId w:val="55"/>
              </w:numPr>
              <w:spacing w:before="0" w:after="0"/>
              <w:ind w:hanging="210"/>
              <w:jc w:val="left"/>
              <w:rPr>
                <w:szCs w:val="24"/>
              </w:rPr>
            </w:pPr>
            <w:r>
              <w:rPr>
                <w:szCs w:val="24"/>
              </w:rPr>
              <w:t>„Оценка на информационните системи за наблюдение и за индикатори на ПРСР (2014-2020</w:t>
            </w:r>
            <w:r>
              <w:rPr>
                <w:szCs w:val="24"/>
              </w:rPr>
              <w:t>)“;</w:t>
            </w:r>
          </w:p>
          <w:p w:rsidR="002B3815" w:rsidRDefault="0099452B" w:rsidP="0099452B">
            <w:pPr>
              <w:numPr>
                <w:ilvl w:val="0"/>
                <w:numId w:val="55"/>
              </w:numPr>
              <w:spacing w:before="0" w:after="0"/>
              <w:ind w:hanging="210"/>
              <w:jc w:val="left"/>
              <w:rPr>
                <w:szCs w:val="24"/>
              </w:rPr>
            </w:pPr>
            <w:r>
              <w:rPr>
                <w:szCs w:val="24"/>
              </w:rPr>
              <w:t>„Извършване на цялостна оценка на ПРСР (2014-2020) за периода от одобрение на ПРСР до края на 2016 г.“;</w:t>
            </w:r>
          </w:p>
          <w:p w:rsidR="002B3815" w:rsidRDefault="0099452B" w:rsidP="0099452B">
            <w:pPr>
              <w:numPr>
                <w:ilvl w:val="0"/>
                <w:numId w:val="55"/>
              </w:numPr>
              <w:spacing w:before="0" w:after="0"/>
              <w:ind w:hanging="210"/>
              <w:jc w:val="left"/>
              <w:rPr>
                <w:szCs w:val="24"/>
              </w:rPr>
            </w:pPr>
            <w:r>
              <w:rPr>
                <w:szCs w:val="24"/>
              </w:rPr>
              <w:t>„Оценка на прилагането на финансови инструменти за периода от одобрение на ПРСР (2014-2020) до края на 2017 г.“;</w:t>
            </w:r>
          </w:p>
          <w:p w:rsidR="002B3815" w:rsidRDefault="0099452B" w:rsidP="0099452B">
            <w:pPr>
              <w:numPr>
                <w:ilvl w:val="0"/>
                <w:numId w:val="55"/>
              </w:numPr>
              <w:spacing w:before="0" w:after="240"/>
              <w:ind w:hanging="210"/>
              <w:jc w:val="left"/>
              <w:rPr>
                <w:szCs w:val="24"/>
              </w:rPr>
            </w:pPr>
            <w:r>
              <w:rPr>
                <w:szCs w:val="24"/>
              </w:rPr>
              <w:t xml:space="preserve">„Извършване на оценка на </w:t>
            </w:r>
            <w:r>
              <w:rPr>
                <w:szCs w:val="24"/>
              </w:rPr>
              <w:t>ефективността, ефикасността и въздействието от работата на НСМ“.</w:t>
            </w:r>
          </w:p>
          <w:p w:rsidR="002B3815" w:rsidRDefault="0099452B">
            <w:pPr>
              <w:spacing w:before="240" w:after="240"/>
              <w:jc w:val="left"/>
              <w:rPr>
                <w:szCs w:val="24"/>
              </w:rPr>
            </w:pPr>
            <w:r>
              <w:rPr>
                <w:szCs w:val="24"/>
              </w:rPr>
              <w:t>Към края на 2017 г. беше извършена Последващата оценка на ПРСР 2007-2013 г. През годината администрацията на МЗХГ проведе успешна процедура за възлагане на обществена поръчка по ЗОП. В резулт</w:t>
            </w:r>
            <w:r>
              <w:rPr>
                <w:szCs w:val="24"/>
              </w:rPr>
              <w:t>ат на това на 30.10.2017 г. е сключен догоговор, като оценката беше осъществена в периода ноември 2017-януари 2018 г. от екип от експерти на обединение „ИНСАЙТ ПРСР” със съдружници „Екорис Саут Ийст Юроп“ ЕООД и „БИМ Консултинг“ ООД.</w:t>
            </w:r>
          </w:p>
          <w:p w:rsidR="002B3815" w:rsidRDefault="0099452B">
            <w:pPr>
              <w:spacing w:before="240" w:after="240"/>
              <w:jc w:val="left"/>
              <w:rPr>
                <w:szCs w:val="24"/>
              </w:rPr>
            </w:pPr>
            <w:r>
              <w:rPr>
                <w:szCs w:val="24"/>
              </w:rPr>
              <w:t>Целта на оценката е да</w:t>
            </w:r>
            <w:r>
              <w:rPr>
                <w:szCs w:val="24"/>
              </w:rPr>
              <w:t xml:space="preserve"> отговори на изискванията на чл. 84 и чл. 86 на Регламент на Съвета (ЕО) № 1698/2005. Оценката е осъществена след приключване на Програмата за развитие на селските райони 2007-2013 г. в България. Основната й цел е да оцени степента на използване на ресурси</w:t>
            </w:r>
            <w:r>
              <w:rPr>
                <w:szCs w:val="24"/>
              </w:rPr>
              <w:t>те, ефикасността и ефективността от програмирането по Европейския земеделски фонд за развитие на селските райони, социално-икономическото въздействие и въздействието върху приоритетите на Общността.</w:t>
            </w:r>
          </w:p>
          <w:p w:rsidR="002B3815" w:rsidRDefault="0099452B">
            <w:pPr>
              <w:spacing w:before="240" w:after="240"/>
              <w:jc w:val="left"/>
              <w:rPr>
                <w:szCs w:val="24"/>
              </w:rPr>
            </w:pPr>
            <w:r>
              <w:rPr>
                <w:szCs w:val="24"/>
              </w:rPr>
              <w:t>Предвид естеството на оценката основният фокус на анализи</w:t>
            </w:r>
            <w:r>
              <w:rPr>
                <w:szCs w:val="24"/>
              </w:rPr>
              <w:t>те е насочен към постигнатите резултати и въздействия, като въпроси, свързани с релевантността на мерките и изпълнението, са коментирани от гледна точка на това доколко са били предпоставка за постигане или непостигане на планираните цели.</w:t>
            </w:r>
          </w:p>
          <w:p w:rsidR="002B3815" w:rsidRDefault="0099452B">
            <w:pPr>
              <w:spacing w:before="240" w:after="240"/>
              <w:jc w:val="left"/>
              <w:rPr>
                <w:szCs w:val="24"/>
              </w:rPr>
            </w:pPr>
            <w:r>
              <w:rPr>
                <w:szCs w:val="24"/>
              </w:rPr>
              <w:t>Използвани са ре</w:t>
            </w:r>
            <w:r>
              <w:rPr>
                <w:szCs w:val="24"/>
              </w:rPr>
              <w:t>дица методи за провеждане на оценката, съобразени и с насоките на ЕК за осъществяване на последващи оценки на програмите за развитие на селските райони в периода 2007-2013 г.</w:t>
            </w:r>
          </w:p>
          <w:p w:rsidR="002B3815" w:rsidRDefault="0099452B">
            <w:pPr>
              <w:spacing w:before="240" w:after="240"/>
              <w:jc w:val="left"/>
              <w:rPr>
                <w:szCs w:val="24"/>
              </w:rPr>
            </w:pPr>
            <w:r>
              <w:rPr>
                <w:szCs w:val="24"/>
              </w:rPr>
              <w:t>Оценката е осъществена предимно на базата кабинетно проучване на наличната информ</w:t>
            </w:r>
            <w:r>
              <w:rPr>
                <w:szCs w:val="24"/>
              </w:rPr>
              <w:t>ация в УО и ДФЗ, събирана като част от системата за мониторинг и изложена в годишните доклади за изпълнение на програмата, както и на база на данните за постигнатите стойности на индикаторите, предоставени от ДФЗ. Аналитична информация е черпена от доклади</w:t>
            </w:r>
            <w:r>
              <w:rPr>
                <w:szCs w:val="24"/>
              </w:rPr>
              <w:t>те за оценка, както и от доклади на бенефициенти по ос 4 ЛИДЕР, доклади и анализи, изработени в рамките на НСМ и по техническа помощ, включително тригодишните доклади за въздействие на Програмата върху околната среда. В допълнение е ползвана публично-налич</w:t>
            </w:r>
            <w:r>
              <w:rPr>
                <w:szCs w:val="24"/>
              </w:rPr>
              <w:t>на информация относно европейски, национални, регионални и общински планове за развитие и стратегиите за местно развитие на МИГ, данни от Националния статистически институт, отдел „Агростатистика“ на МЗХГ и Евростат, както и одитни доклади на Сметната пала</w:t>
            </w:r>
            <w:r>
              <w:rPr>
                <w:szCs w:val="24"/>
              </w:rPr>
              <w:t>та.</w:t>
            </w:r>
          </w:p>
          <w:p w:rsidR="002B3815" w:rsidRDefault="0099452B">
            <w:pPr>
              <w:spacing w:before="240" w:after="240"/>
              <w:jc w:val="left"/>
              <w:rPr>
                <w:szCs w:val="24"/>
              </w:rPr>
            </w:pPr>
            <w:r>
              <w:rPr>
                <w:szCs w:val="24"/>
              </w:rPr>
              <w:t>Допълнителна информация е набавена по време на оценката чрез провеждане на срещи/интервюта с представители на УО, ДФЗ, членове на Комитета за наблюдение и Националното сдружение на общините в България. </w:t>
            </w:r>
          </w:p>
          <w:p w:rsidR="002B3815" w:rsidRDefault="0099452B">
            <w:pPr>
              <w:spacing w:before="240" w:after="240"/>
              <w:jc w:val="left"/>
              <w:rPr>
                <w:szCs w:val="24"/>
              </w:rPr>
            </w:pPr>
            <w:r>
              <w:rPr>
                <w:szCs w:val="24"/>
              </w:rPr>
              <w:t>Като част от анализите по Ос 1 и Ос 4 са проведен</w:t>
            </w:r>
            <w:r>
              <w:rPr>
                <w:szCs w:val="24"/>
              </w:rPr>
              <w:t>и две фокус групи с представители на браншови организации (по Ос 1) и представители на МИГ (Ос 4).</w:t>
            </w:r>
          </w:p>
          <w:p w:rsidR="002B3815" w:rsidRDefault="0099452B">
            <w:pPr>
              <w:spacing w:before="240" w:after="240"/>
              <w:jc w:val="left"/>
              <w:rPr>
                <w:szCs w:val="24"/>
              </w:rPr>
            </w:pPr>
            <w:r>
              <w:rPr>
                <w:szCs w:val="24"/>
              </w:rPr>
              <w:t>Анализите по Ос 3 са подкрепени с информацията, получена от онлайн проучване сред селски общини, бенефициенти по мерки 313, 321 и 322. Във въпросника са вклю</w:t>
            </w:r>
            <w:r>
              <w:rPr>
                <w:szCs w:val="24"/>
              </w:rPr>
              <w:t>чени и въпроси относно ефектите от изпълнението на мерките по ос 4 ЛИДЕР. Въпросникът е разпратен до 231 общини, от които са отговорили 47 общини (20% от респондентите). Информацията, набрана чрез онлайн проучването, е представена в Приложение 5.</w:t>
            </w:r>
          </w:p>
          <w:p w:rsidR="002B3815" w:rsidRDefault="0099452B">
            <w:pPr>
              <w:spacing w:before="240" w:after="240"/>
              <w:jc w:val="left"/>
              <w:rPr>
                <w:szCs w:val="24"/>
              </w:rPr>
            </w:pPr>
            <w:r>
              <w:rPr>
                <w:szCs w:val="24"/>
              </w:rPr>
              <w:t>Допълните</w:t>
            </w:r>
            <w:r>
              <w:rPr>
                <w:szCs w:val="24"/>
              </w:rPr>
              <w:t>лно са проведени и теренни проучвания сред бенефициенти по Ос 2 и по мерки 311 и 312 на Ос 3.</w:t>
            </w:r>
          </w:p>
          <w:p w:rsidR="002B3815" w:rsidRDefault="0099452B">
            <w:pPr>
              <w:spacing w:before="240" w:after="240"/>
              <w:jc w:val="left"/>
              <w:rPr>
                <w:szCs w:val="24"/>
              </w:rPr>
            </w:pPr>
            <w:r>
              <w:rPr>
                <w:szCs w:val="24"/>
              </w:rPr>
              <w:t>Методите за анализ, които са използвани, са продиктувани основно от наличната информация и цели на оценката и включват:</w:t>
            </w:r>
          </w:p>
          <w:p w:rsidR="002B3815" w:rsidRDefault="0099452B" w:rsidP="0099452B">
            <w:pPr>
              <w:numPr>
                <w:ilvl w:val="0"/>
                <w:numId w:val="56"/>
              </w:numPr>
              <w:spacing w:before="240" w:after="0"/>
              <w:ind w:hanging="210"/>
              <w:jc w:val="left"/>
              <w:rPr>
                <w:szCs w:val="24"/>
              </w:rPr>
            </w:pPr>
            <w:r>
              <w:rPr>
                <w:szCs w:val="24"/>
              </w:rPr>
              <w:t>Анализ на заинтересованите страни;</w:t>
            </w:r>
          </w:p>
          <w:p w:rsidR="002B3815" w:rsidRDefault="0099452B" w:rsidP="0099452B">
            <w:pPr>
              <w:numPr>
                <w:ilvl w:val="0"/>
                <w:numId w:val="56"/>
              </w:numPr>
              <w:spacing w:before="0" w:after="0"/>
              <w:ind w:hanging="210"/>
              <w:jc w:val="left"/>
              <w:rPr>
                <w:szCs w:val="24"/>
              </w:rPr>
            </w:pPr>
            <w:r>
              <w:rPr>
                <w:szCs w:val="24"/>
              </w:rPr>
              <w:t xml:space="preserve">Анализ </w:t>
            </w:r>
            <w:r>
              <w:rPr>
                <w:szCs w:val="24"/>
              </w:rPr>
              <w:t>на логиката на интервенция;</w:t>
            </w:r>
          </w:p>
          <w:p w:rsidR="002B3815" w:rsidRDefault="0099452B" w:rsidP="0099452B">
            <w:pPr>
              <w:numPr>
                <w:ilvl w:val="0"/>
                <w:numId w:val="56"/>
              </w:numPr>
              <w:spacing w:before="0" w:after="0"/>
              <w:ind w:hanging="210"/>
              <w:jc w:val="left"/>
              <w:rPr>
                <w:szCs w:val="24"/>
              </w:rPr>
            </w:pPr>
            <w:r>
              <w:rPr>
                <w:szCs w:val="24"/>
              </w:rPr>
              <w:t>Анализ на индикатори;</w:t>
            </w:r>
          </w:p>
          <w:p w:rsidR="002B3815" w:rsidRDefault="0099452B" w:rsidP="0099452B">
            <w:pPr>
              <w:numPr>
                <w:ilvl w:val="0"/>
                <w:numId w:val="56"/>
              </w:numPr>
              <w:spacing w:before="0" w:after="0"/>
              <w:ind w:hanging="210"/>
              <w:jc w:val="left"/>
              <w:rPr>
                <w:szCs w:val="24"/>
              </w:rPr>
            </w:pPr>
            <w:r>
              <w:rPr>
                <w:szCs w:val="24"/>
              </w:rPr>
              <w:t>Финансов анализ;</w:t>
            </w:r>
          </w:p>
          <w:p w:rsidR="002B3815" w:rsidRDefault="0099452B" w:rsidP="0099452B">
            <w:pPr>
              <w:numPr>
                <w:ilvl w:val="0"/>
                <w:numId w:val="56"/>
              </w:numPr>
              <w:spacing w:before="0" w:after="0"/>
              <w:ind w:hanging="210"/>
              <w:jc w:val="left"/>
              <w:rPr>
                <w:szCs w:val="24"/>
              </w:rPr>
            </w:pPr>
            <w:r>
              <w:rPr>
                <w:szCs w:val="24"/>
              </w:rPr>
              <w:t>Анализ на приноса;</w:t>
            </w:r>
          </w:p>
          <w:p w:rsidR="002B3815" w:rsidRDefault="0099452B" w:rsidP="0099452B">
            <w:pPr>
              <w:numPr>
                <w:ilvl w:val="0"/>
                <w:numId w:val="56"/>
              </w:numPr>
              <w:spacing w:before="0" w:after="240"/>
              <w:ind w:hanging="210"/>
              <w:jc w:val="left"/>
              <w:rPr>
                <w:szCs w:val="24"/>
              </w:rPr>
            </w:pPr>
            <w:r>
              <w:rPr>
                <w:szCs w:val="24"/>
              </w:rPr>
              <w:t>Експертен анализ на постигнатите въздействия.</w:t>
            </w:r>
          </w:p>
          <w:p w:rsidR="002B3815" w:rsidRDefault="0099452B">
            <w:pPr>
              <w:spacing w:before="240" w:after="240"/>
              <w:jc w:val="left"/>
              <w:rPr>
                <w:szCs w:val="24"/>
              </w:rPr>
            </w:pPr>
            <w:r>
              <w:rPr>
                <w:szCs w:val="24"/>
              </w:rPr>
              <w:t xml:space="preserve">Оценителните въпроси, на които оценката трябва да даде отговор, са посочени в техническата спецификация на Възложителя. Те </w:t>
            </w:r>
            <w:r>
              <w:rPr>
                <w:szCs w:val="24"/>
              </w:rPr>
              <w:t>са групирани по приоритетни оси. В допълнение са посочени оценителни въпроси, касаещи националната селска мрежа, както и хоризонтални общи въпроси към оценката. Оценителните въпроси са, както следва:</w:t>
            </w:r>
          </w:p>
          <w:p w:rsidR="002B3815" w:rsidRDefault="0099452B">
            <w:pPr>
              <w:spacing w:before="240" w:after="240"/>
              <w:jc w:val="left"/>
              <w:rPr>
                <w:szCs w:val="24"/>
              </w:rPr>
            </w:pPr>
            <w:r>
              <w:rPr>
                <w:szCs w:val="24"/>
              </w:rPr>
              <w:t> </w:t>
            </w:r>
            <w:r>
              <w:rPr>
                <w:b/>
                <w:bCs/>
                <w:szCs w:val="24"/>
              </w:rPr>
              <w:t>Ос 1: Подобряване на конкурентоспособността на земеделс</w:t>
            </w:r>
            <w:r>
              <w:rPr>
                <w:b/>
                <w:bCs/>
                <w:szCs w:val="24"/>
              </w:rPr>
              <w:t>кия и горския сектор</w:t>
            </w:r>
          </w:p>
          <w:p w:rsidR="002B3815" w:rsidRDefault="0099452B" w:rsidP="0099452B">
            <w:pPr>
              <w:numPr>
                <w:ilvl w:val="0"/>
                <w:numId w:val="57"/>
              </w:numPr>
              <w:spacing w:before="240" w:after="0"/>
              <w:ind w:hanging="210"/>
              <w:jc w:val="left"/>
              <w:rPr>
                <w:szCs w:val="24"/>
              </w:rPr>
            </w:pPr>
            <w:r>
              <w:rPr>
                <w:szCs w:val="24"/>
              </w:rPr>
              <w:t>До каква степен ПРСР е допринесла за подобряване на конкурентоспособността на земеделския и горския сектор? (</w:t>
            </w:r>
            <w:r>
              <w:rPr>
                <w:i/>
                <w:iCs/>
                <w:szCs w:val="24"/>
              </w:rPr>
              <w:t>Стратегически приоритет на Общността</w:t>
            </w:r>
            <w:r>
              <w:rPr>
                <w:szCs w:val="24"/>
              </w:rPr>
              <w:t>);</w:t>
            </w:r>
          </w:p>
          <w:p w:rsidR="002B3815" w:rsidRDefault="0099452B" w:rsidP="0099452B">
            <w:pPr>
              <w:numPr>
                <w:ilvl w:val="0"/>
                <w:numId w:val="57"/>
              </w:numPr>
              <w:spacing w:before="0" w:after="240"/>
              <w:ind w:hanging="210"/>
              <w:jc w:val="left"/>
              <w:rPr>
                <w:szCs w:val="24"/>
              </w:rPr>
            </w:pPr>
            <w:r>
              <w:rPr>
                <w:szCs w:val="24"/>
              </w:rPr>
              <w:t> До каква степен ПРСР съпътствала за преструктурирането на млечния сектор? (</w:t>
            </w:r>
            <w:r>
              <w:rPr>
                <w:i/>
                <w:iCs/>
                <w:szCs w:val="24"/>
              </w:rPr>
              <w:t>Health Chec</w:t>
            </w:r>
            <w:r>
              <w:rPr>
                <w:i/>
                <w:iCs/>
                <w:szCs w:val="24"/>
              </w:rPr>
              <w:t>k objective</w:t>
            </w:r>
            <w:r>
              <w:rPr>
                <w:szCs w:val="24"/>
              </w:rPr>
              <w:t>);</w:t>
            </w:r>
          </w:p>
          <w:p w:rsidR="002B3815" w:rsidRDefault="0099452B">
            <w:pPr>
              <w:spacing w:before="240" w:after="240"/>
              <w:jc w:val="left"/>
              <w:rPr>
                <w:szCs w:val="24"/>
              </w:rPr>
            </w:pPr>
            <w:r>
              <w:rPr>
                <w:i/>
                <w:iCs/>
                <w:szCs w:val="24"/>
              </w:rPr>
              <w:t>За всяка от мерките по Ос 1, включени в ПРСР:</w:t>
            </w:r>
          </w:p>
          <w:p w:rsidR="002B3815" w:rsidRDefault="0099452B" w:rsidP="0099452B">
            <w:pPr>
              <w:numPr>
                <w:ilvl w:val="0"/>
                <w:numId w:val="58"/>
              </w:numPr>
              <w:spacing w:before="240" w:after="0"/>
              <w:ind w:hanging="210"/>
              <w:jc w:val="left"/>
              <w:rPr>
                <w:szCs w:val="24"/>
              </w:rPr>
            </w:pPr>
            <w:r>
              <w:rPr>
                <w:szCs w:val="24"/>
              </w:rPr>
              <w:t>Как и до каква степен съответната мярка е допринесла за подобряване на конкурентоспособността на бенефициентите?</w:t>
            </w:r>
          </w:p>
          <w:p w:rsidR="002B3815" w:rsidRDefault="0099452B" w:rsidP="0099452B">
            <w:pPr>
              <w:numPr>
                <w:ilvl w:val="0"/>
                <w:numId w:val="58"/>
              </w:numPr>
              <w:spacing w:before="0" w:after="240"/>
              <w:ind w:hanging="210"/>
              <w:jc w:val="left"/>
              <w:rPr>
                <w:szCs w:val="24"/>
              </w:rPr>
            </w:pPr>
            <w:r>
              <w:rPr>
                <w:szCs w:val="24"/>
              </w:rPr>
              <w:t>Какви други въздействия, включително и тези, свързани с други цели/оси, са свързани</w:t>
            </w:r>
            <w:r>
              <w:rPr>
                <w:szCs w:val="24"/>
              </w:rPr>
              <w:t xml:space="preserve"> с прилагането на съответната мярка (непреки, положителни/отрицателни въздействия върху бенефициентите, тези които не са бенефициенти, на местно равнище)? (</w:t>
            </w:r>
            <w:r>
              <w:rPr>
                <w:i/>
                <w:iCs/>
                <w:szCs w:val="24"/>
              </w:rPr>
              <w:t>например екологични ползи от инвестициите в съхранение на оборски тор</w:t>
            </w:r>
            <w:r>
              <w:rPr>
                <w:szCs w:val="24"/>
              </w:rPr>
              <w:t>);</w:t>
            </w:r>
          </w:p>
          <w:p w:rsidR="002B3815" w:rsidRDefault="0099452B">
            <w:pPr>
              <w:spacing w:before="240" w:after="240"/>
              <w:jc w:val="left"/>
              <w:rPr>
                <w:szCs w:val="24"/>
              </w:rPr>
            </w:pPr>
            <w:r>
              <w:rPr>
                <w:szCs w:val="24"/>
              </w:rPr>
              <w:t> </w:t>
            </w:r>
            <w:r>
              <w:rPr>
                <w:b/>
                <w:bCs/>
                <w:szCs w:val="24"/>
              </w:rPr>
              <w:t>Ос 2: Подобряване на околна</w:t>
            </w:r>
            <w:r>
              <w:rPr>
                <w:b/>
                <w:bCs/>
                <w:szCs w:val="24"/>
              </w:rPr>
              <w:t>та среда и природата</w:t>
            </w:r>
          </w:p>
          <w:p w:rsidR="002B3815" w:rsidRDefault="0099452B" w:rsidP="0099452B">
            <w:pPr>
              <w:numPr>
                <w:ilvl w:val="0"/>
                <w:numId w:val="59"/>
              </w:numPr>
              <w:spacing w:before="240" w:after="240"/>
              <w:ind w:hanging="210"/>
              <w:jc w:val="left"/>
              <w:rPr>
                <w:szCs w:val="24"/>
              </w:rPr>
            </w:pPr>
            <w:r>
              <w:rPr>
                <w:szCs w:val="24"/>
              </w:rPr>
              <w:t>До каква степен ПРСР е допринесла за защита и увеличаване на природните ресурси и на ландшафта, включително, биологичното разнообразие и висока природна стойност (ВПС) земеделие и горско стопанство? (</w:t>
            </w:r>
            <w:r>
              <w:rPr>
                <w:i/>
                <w:iCs/>
                <w:szCs w:val="24"/>
              </w:rPr>
              <w:t xml:space="preserve">Стратегически приоритет на </w:t>
            </w:r>
            <w:r>
              <w:rPr>
                <w:i/>
                <w:iCs/>
                <w:szCs w:val="24"/>
              </w:rPr>
              <w:t>Общността</w:t>
            </w:r>
            <w:r>
              <w:rPr>
                <w:szCs w:val="24"/>
              </w:rPr>
              <w:t xml:space="preserve">. Биологичното разнообразие също е </w:t>
            </w:r>
            <w:r>
              <w:rPr>
                <w:i/>
                <w:iCs/>
                <w:szCs w:val="24"/>
              </w:rPr>
              <w:t>Health Check objective</w:t>
            </w:r>
            <w:r>
              <w:rPr>
                <w:szCs w:val="24"/>
              </w:rPr>
              <w:t>);</w:t>
            </w:r>
          </w:p>
          <w:p w:rsidR="002B3815" w:rsidRDefault="0099452B">
            <w:pPr>
              <w:spacing w:before="240" w:after="240"/>
              <w:jc w:val="left"/>
              <w:rPr>
                <w:szCs w:val="24"/>
              </w:rPr>
            </w:pPr>
            <w:r>
              <w:rPr>
                <w:i/>
                <w:iCs/>
                <w:szCs w:val="24"/>
              </w:rPr>
              <w:t>За всяка от мерките от Ос 2, включени в ПРСР:</w:t>
            </w:r>
          </w:p>
          <w:p w:rsidR="002B3815" w:rsidRDefault="0099452B" w:rsidP="0099452B">
            <w:pPr>
              <w:numPr>
                <w:ilvl w:val="0"/>
                <w:numId w:val="60"/>
              </w:numPr>
              <w:spacing w:before="240" w:after="0"/>
              <w:ind w:hanging="210"/>
              <w:jc w:val="left"/>
              <w:rPr>
                <w:szCs w:val="24"/>
              </w:rPr>
            </w:pPr>
            <w:r>
              <w:rPr>
                <w:szCs w:val="24"/>
              </w:rPr>
              <w:t>Как и до каква степен съответната мярка е допринесла за подобряване на екологичното положение на бенефициентите и за местната околна среда?</w:t>
            </w:r>
          </w:p>
          <w:p w:rsidR="002B3815" w:rsidRDefault="0099452B" w:rsidP="0099452B">
            <w:pPr>
              <w:numPr>
                <w:ilvl w:val="0"/>
                <w:numId w:val="60"/>
              </w:numPr>
              <w:spacing w:before="0" w:after="240"/>
              <w:ind w:hanging="210"/>
              <w:jc w:val="left"/>
              <w:rPr>
                <w:szCs w:val="24"/>
              </w:rPr>
            </w:pPr>
            <w:r>
              <w:rPr>
                <w:szCs w:val="24"/>
              </w:rPr>
              <w:t>К</w:t>
            </w:r>
            <w:r>
              <w:rPr>
                <w:szCs w:val="24"/>
              </w:rPr>
              <w:t>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 (</w:t>
            </w:r>
            <w:r>
              <w:rPr>
                <w:i/>
                <w:iCs/>
                <w:szCs w:val="24"/>
              </w:rPr>
              <w:t>например увеличава</w:t>
            </w:r>
            <w:r>
              <w:rPr>
                <w:i/>
                <w:iCs/>
                <w:szCs w:val="24"/>
              </w:rPr>
              <w:t>не на конкурентоспособността на земеделските стопанства или туристическия на потенциал</w:t>
            </w:r>
            <w:r>
              <w:rPr>
                <w:szCs w:val="24"/>
              </w:rPr>
              <w:t>).</w:t>
            </w:r>
          </w:p>
          <w:p w:rsidR="002B3815" w:rsidRDefault="0099452B">
            <w:pPr>
              <w:spacing w:before="240" w:after="240"/>
              <w:jc w:val="left"/>
              <w:rPr>
                <w:szCs w:val="24"/>
              </w:rPr>
            </w:pPr>
            <w:r>
              <w:rPr>
                <w:szCs w:val="24"/>
              </w:rPr>
              <w:t> </w:t>
            </w:r>
            <w:r>
              <w:rPr>
                <w:b/>
                <w:bCs/>
                <w:szCs w:val="24"/>
              </w:rPr>
              <w:t>Ос 3: Качество на живот в селските райони и разнообразяване на селската икономика</w:t>
            </w:r>
          </w:p>
          <w:p w:rsidR="002B3815" w:rsidRDefault="0099452B" w:rsidP="0099452B">
            <w:pPr>
              <w:numPr>
                <w:ilvl w:val="0"/>
                <w:numId w:val="61"/>
              </w:numPr>
              <w:spacing w:before="240" w:after="0"/>
              <w:ind w:hanging="210"/>
              <w:jc w:val="left"/>
              <w:rPr>
                <w:szCs w:val="24"/>
              </w:rPr>
            </w:pPr>
            <w:r>
              <w:rPr>
                <w:szCs w:val="24"/>
              </w:rPr>
              <w:t>До каква степен ПРСР е допринесла за подобряване на качеството на живот в селските р</w:t>
            </w:r>
            <w:r>
              <w:rPr>
                <w:szCs w:val="24"/>
              </w:rPr>
              <w:t>айони и за насърчаване разнообразяването на селската икономика?  (</w:t>
            </w:r>
            <w:r>
              <w:rPr>
                <w:i/>
                <w:iCs/>
                <w:szCs w:val="24"/>
              </w:rPr>
              <w:t>Стратегически приоритет на Общността</w:t>
            </w:r>
            <w:r>
              <w:rPr>
                <w:szCs w:val="24"/>
              </w:rPr>
              <w:t>);</w:t>
            </w:r>
          </w:p>
          <w:p w:rsidR="002B3815" w:rsidRDefault="0099452B" w:rsidP="0099452B">
            <w:pPr>
              <w:numPr>
                <w:ilvl w:val="0"/>
                <w:numId w:val="61"/>
              </w:numPr>
              <w:spacing w:before="0" w:after="240"/>
              <w:ind w:hanging="210"/>
              <w:jc w:val="left"/>
              <w:rPr>
                <w:szCs w:val="24"/>
              </w:rPr>
            </w:pPr>
            <w:r>
              <w:rPr>
                <w:szCs w:val="24"/>
              </w:rPr>
              <w:t>До каква степен ПРСР е допринесла за създаването на достъп до широколентов интернет? (включително и разширяването му)? (</w:t>
            </w:r>
            <w:r>
              <w:rPr>
                <w:i/>
                <w:iCs/>
                <w:szCs w:val="24"/>
              </w:rPr>
              <w:t>Health Check objective</w:t>
            </w:r>
            <w:r>
              <w:rPr>
                <w:szCs w:val="24"/>
              </w:rPr>
              <w:t>);</w:t>
            </w:r>
          </w:p>
          <w:p w:rsidR="002B3815" w:rsidRDefault="0099452B">
            <w:pPr>
              <w:spacing w:before="240" w:after="240"/>
              <w:jc w:val="left"/>
              <w:rPr>
                <w:szCs w:val="24"/>
              </w:rPr>
            </w:pPr>
            <w:r>
              <w:rPr>
                <w:szCs w:val="24"/>
              </w:rPr>
              <w:t> </w:t>
            </w:r>
            <w:r>
              <w:rPr>
                <w:i/>
                <w:iCs/>
                <w:szCs w:val="24"/>
              </w:rPr>
              <w:t>За вс</w:t>
            </w:r>
            <w:r>
              <w:rPr>
                <w:i/>
                <w:iCs/>
                <w:szCs w:val="24"/>
              </w:rPr>
              <w:t>яка от мерките от Ос</w:t>
            </w:r>
            <w:r>
              <w:rPr>
                <w:szCs w:val="24"/>
              </w:rPr>
              <w:t xml:space="preserve"> 3 </w:t>
            </w:r>
            <w:r>
              <w:rPr>
                <w:i/>
                <w:iCs/>
                <w:szCs w:val="24"/>
              </w:rPr>
              <w:t>(Член 52(a) на 1698/2005),</w:t>
            </w:r>
            <w:r>
              <w:rPr>
                <w:szCs w:val="24"/>
              </w:rPr>
              <w:t xml:space="preserve"> </w:t>
            </w:r>
            <w:r>
              <w:rPr>
                <w:i/>
                <w:iCs/>
                <w:szCs w:val="24"/>
              </w:rPr>
              <w:t>включени в ПРСР</w:t>
            </w:r>
            <w:r>
              <w:rPr>
                <w:szCs w:val="24"/>
              </w:rPr>
              <w:t>:</w:t>
            </w:r>
          </w:p>
          <w:p w:rsidR="002B3815" w:rsidRDefault="0099452B" w:rsidP="0099452B">
            <w:pPr>
              <w:numPr>
                <w:ilvl w:val="0"/>
                <w:numId w:val="62"/>
              </w:numPr>
              <w:spacing w:before="240" w:after="0"/>
              <w:ind w:hanging="210"/>
              <w:jc w:val="left"/>
              <w:rPr>
                <w:szCs w:val="24"/>
              </w:rPr>
            </w:pPr>
            <w:r>
              <w:rPr>
                <w:szCs w:val="24"/>
              </w:rPr>
              <w:t>Как и до каква степен съответната мярка е допринесла за подобряване на икономическото разнообразяване на бенефициентите?</w:t>
            </w:r>
          </w:p>
          <w:p w:rsidR="002B3815" w:rsidRDefault="0099452B" w:rsidP="0099452B">
            <w:pPr>
              <w:numPr>
                <w:ilvl w:val="0"/>
                <w:numId w:val="62"/>
              </w:numPr>
              <w:spacing w:before="0" w:after="240"/>
              <w:ind w:hanging="210"/>
              <w:jc w:val="left"/>
              <w:rPr>
                <w:szCs w:val="24"/>
              </w:rPr>
            </w:pPr>
            <w:r>
              <w:rPr>
                <w:szCs w:val="24"/>
              </w:rPr>
              <w:t xml:space="preserve">Какви други въздействия, включително и тези, свързани с други </w:t>
            </w:r>
            <w:r>
              <w:rPr>
                <w:szCs w:val="24"/>
              </w:rPr>
              <w:t>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w:t>
            </w:r>
          </w:p>
          <w:p w:rsidR="002B3815" w:rsidRDefault="0099452B">
            <w:pPr>
              <w:spacing w:before="240" w:after="240"/>
              <w:jc w:val="left"/>
              <w:rPr>
                <w:szCs w:val="24"/>
              </w:rPr>
            </w:pPr>
            <w:r>
              <w:rPr>
                <w:szCs w:val="24"/>
              </w:rPr>
              <w:t> </w:t>
            </w:r>
            <w:r>
              <w:rPr>
                <w:i/>
                <w:iCs/>
                <w:szCs w:val="24"/>
              </w:rPr>
              <w:t>За всяка от мерките от ос 3 (Член 52(б) от 1698/2005),</w:t>
            </w:r>
            <w:r>
              <w:rPr>
                <w:szCs w:val="24"/>
              </w:rPr>
              <w:t xml:space="preserve"> </w:t>
            </w:r>
            <w:r>
              <w:rPr>
                <w:i/>
                <w:iCs/>
                <w:szCs w:val="24"/>
              </w:rPr>
              <w:t>включени в ПРСР</w:t>
            </w:r>
            <w:r>
              <w:rPr>
                <w:szCs w:val="24"/>
              </w:rPr>
              <w:t>:</w:t>
            </w:r>
          </w:p>
          <w:p w:rsidR="002B3815" w:rsidRDefault="0099452B" w:rsidP="0099452B">
            <w:pPr>
              <w:numPr>
                <w:ilvl w:val="0"/>
                <w:numId w:val="63"/>
              </w:numPr>
              <w:spacing w:before="240" w:after="0"/>
              <w:ind w:hanging="210"/>
              <w:jc w:val="left"/>
              <w:rPr>
                <w:szCs w:val="24"/>
              </w:rPr>
            </w:pPr>
            <w:r>
              <w:rPr>
                <w:szCs w:val="24"/>
              </w:rPr>
              <w:t>Как и д</w:t>
            </w:r>
            <w:r>
              <w:rPr>
                <w:szCs w:val="24"/>
              </w:rPr>
              <w:t>о каква степен съответната мярка е допринесла за подобряване качеството на живот на бенефициентите?</w:t>
            </w:r>
          </w:p>
          <w:p w:rsidR="002B3815" w:rsidRDefault="0099452B" w:rsidP="0099452B">
            <w:pPr>
              <w:numPr>
                <w:ilvl w:val="0"/>
                <w:numId w:val="63"/>
              </w:numPr>
              <w:spacing w:before="0" w:after="240"/>
              <w:ind w:hanging="210"/>
              <w:jc w:val="left"/>
              <w:rPr>
                <w:szCs w:val="24"/>
              </w:rPr>
            </w:pPr>
            <w:r>
              <w:rPr>
                <w:szCs w:val="24"/>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w:t>
            </w:r>
            <w:r>
              <w:rPr>
                <w:szCs w:val="24"/>
              </w:rPr>
              <w:t>действия върху бенефициентите, тези които не са бенефициенти, на местно равнище)?</w:t>
            </w:r>
          </w:p>
          <w:p w:rsidR="002B3815" w:rsidRDefault="0099452B">
            <w:pPr>
              <w:spacing w:before="240" w:after="240"/>
              <w:jc w:val="left"/>
              <w:rPr>
                <w:szCs w:val="24"/>
              </w:rPr>
            </w:pPr>
            <w:r>
              <w:rPr>
                <w:szCs w:val="24"/>
              </w:rPr>
              <w:t> </w:t>
            </w:r>
            <w:r>
              <w:rPr>
                <w:i/>
                <w:iCs/>
                <w:szCs w:val="24"/>
              </w:rPr>
              <w:t>За всяка от мерките от ос 3 (Член 52(в) от 1698/2005),</w:t>
            </w:r>
            <w:r>
              <w:rPr>
                <w:szCs w:val="24"/>
              </w:rPr>
              <w:t xml:space="preserve"> </w:t>
            </w:r>
            <w:r>
              <w:rPr>
                <w:i/>
                <w:iCs/>
                <w:szCs w:val="24"/>
              </w:rPr>
              <w:t>включени в ПРСР</w:t>
            </w:r>
            <w:r>
              <w:rPr>
                <w:szCs w:val="24"/>
              </w:rPr>
              <w:t>:</w:t>
            </w:r>
          </w:p>
          <w:p w:rsidR="002B3815" w:rsidRDefault="0099452B" w:rsidP="0099452B">
            <w:pPr>
              <w:numPr>
                <w:ilvl w:val="0"/>
                <w:numId w:val="64"/>
              </w:numPr>
              <w:spacing w:before="240" w:after="0"/>
              <w:ind w:hanging="280"/>
              <w:jc w:val="left"/>
              <w:rPr>
                <w:szCs w:val="24"/>
              </w:rPr>
            </w:pPr>
            <w:r>
              <w:rPr>
                <w:szCs w:val="24"/>
              </w:rPr>
              <w:t>Как и до каква степен съответната мярка е допринесла за подобряване на икономическото разнообразяване</w:t>
            </w:r>
            <w:r>
              <w:rPr>
                <w:szCs w:val="24"/>
              </w:rPr>
              <w:t xml:space="preserve"> и качеството на живот на бенефициентите?</w:t>
            </w:r>
          </w:p>
          <w:p w:rsidR="002B3815" w:rsidRDefault="0099452B" w:rsidP="0099452B">
            <w:pPr>
              <w:numPr>
                <w:ilvl w:val="0"/>
                <w:numId w:val="64"/>
              </w:numPr>
              <w:spacing w:before="0" w:after="240"/>
              <w:ind w:hanging="280"/>
              <w:jc w:val="left"/>
              <w:rPr>
                <w:szCs w:val="24"/>
              </w:rPr>
            </w:pPr>
            <w:r>
              <w:rPr>
                <w:szCs w:val="24"/>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w:t>
            </w:r>
            <w:r>
              <w:rPr>
                <w:szCs w:val="24"/>
              </w:rPr>
              <w:t>ти, на местно равнище)?</w:t>
            </w:r>
          </w:p>
          <w:p w:rsidR="002B3815" w:rsidRDefault="0099452B">
            <w:pPr>
              <w:spacing w:before="240" w:after="240"/>
              <w:jc w:val="left"/>
              <w:rPr>
                <w:szCs w:val="24"/>
              </w:rPr>
            </w:pPr>
            <w:r>
              <w:rPr>
                <w:szCs w:val="24"/>
              </w:rPr>
              <w:t> </w:t>
            </w:r>
            <w:r>
              <w:rPr>
                <w:b/>
                <w:bCs/>
                <w:szCs w:val="24"/>
              </w:rPr>
              <w:t xml:space="preserve">Ос 4: ЛИДЕР </w:t>
            </w:r>
          </w:p>
          <w:p w:rsidR="002B3815" w:rsidRDefault="0099452B" w:rsidP="0099452B">
            <w:pPr>
              <w:numPr>
                <w:ilvl w:val="0"/>
                <w:numId w:val="65"/>
              </w:numPr>
              <w:spacing w:before="240" w:after="0"/>
              <w:ind w:hanging="280"/>
              <w:jc w:val="left"/>
              <w:rPr>
                <w:szCs w:val="24"/>
              </w:rPr>
            </w:pPr>
            <w:r>
              <w:rPr>
                <w:szCs w:val="24"/>
              </w:rPr>
              <w:t>До каква степен ПРСР е допринесла за изграждането на местния капацитет  за наемане и разнообразяване чрез ЛИДЕР? (</w:t>
            </w:r>
            <w:r>
              <w:rPr>
                <w:i/>
                <w:iCs/>
                <w:szCs w:val="24"/>
              </w:rPr>
              <w:t>Стратегически приоритет на Общността</w:t>
            </w:r>
            <w:r>
              <w:rPr>
                <w:szCs w:val="24"/>
              </w:rPr>
              <w:t>);</w:t>
            </w:r>
          </w:p>
          <w:p w:rsidR="002B3815" w:rsidRDefault="0099452B" w:rsidP="0099452B">
            <w:pPr>
              <w:numPr>
                <w:ilvl w:val="0"/>
                <w:numId w:val="65"/>
              </w:numPr>
              <w:spacing w:before="0" w:after="0"/>
              <w:ind w:hanging="280"/>
              <w:jc w:val="left"/>
              <w:rPr>
                <w:szCs w:val="24"/>
              </w:rPr>
            </w:pPr>
            <w:r>
              <w:rPr>
                <w:szCs w:val="24"/>
              </w:rPr>
              <w:t>До каква степен МИГ допринасят за постигане на целите от местната</w:t>
            </w:r>
            <w:r>
              <w:rPr>
                <w:szCs w:val="24"/>
              </w:rPr>
              <w:t xml:space="preserve"> стратегия за развитие и ПРСР?</w:t>
            </w:r>
          </w:p>
          <w:p w:rsidR="002B3815" w:rsidRDefault="0099452B" w:rsidP="0099452B">
            <w:pPr>
              <w:numPr>
                <w:ilvl w:val="0"/>
                <w:numId w:val="65"/>
              </w:numPr>
              <w:spacing w:before="0" w:after="0"/>
              <w:ind w:hanging="280"/>
              <w:jc w:val="left"/>
              <w:rPr>
                <w:szCs w:val="24"/>
              </w:rPr>
            </w:pPr>
            <w:r>
              <w:rPr>
                <w:szCs w:val="24"/>
              </w:rPr>
              <w:t>До каква степен е бил приложен подхода ЛИДЕР?</w:t>
            </w:r>
          </w:p>
          <w:p w:rsidR="002B3815" w:rsidRDefault="0099452B" w:rsidP="0099452B">
            <w:pPr>
              <w:numPr>
                <w:ilvl w:val="0"/>
                <w:numId w:val="65"/>
              </w:numPr>
              <w:spacing w:before="0" w:after="240"/>
              <w:ind w:hanging="280"/>
              <w:jc w:val="left"/>
              <w:rPr>
                <w:szCs w:val="24"/>
              </w:rPr>
            </w:pPr>
            <w:r>
              <w:rPr>
                <w:szCs w:val="24"/>
              </w:rPr>
              <w:t>До каква степен прилагането на подхода ЛИДЕР е допринесло за подобряване на местното управление? (</w:t>
            </w:r>
            <w:r>
              <w:rPr>
                <w:i/>
                <w:iCs/>
                <w:szCs w:val="24"/>
              </w:rPr>
              <w:t>Стратегически приоритет на Общността</w:t>
            </w:r>
            <w:r>
              <w:rPr>
                <w:szCs w:val="24"/>
              </w:rPr>
              <w:t>).</w:t>
            </w:r>
          </w:p>
          <w:p w:rsidR="002B3815" w:rsidRDefault="0099452B">
            <w:pPr>
              <w:spacing w:before="240" w:after="240"/>
              <w:jc w:val="left"/>
              <w:rPr>
                <w:szCs w:val="24"/>
              </w:rPr>
            </w:pPr>
            <w:r>
              <w:rPr>
                <w:szCs w:val="24"/>
              </w:rPr>
              <w:t> </w:t>
            </w:r>
            <w:r>
              <w:rPr>
                <w:b/>
                <w:bCs/>
                <w:szCs w:val="24"/>
              </w:rPr>
              <w:t>Техническа помощ</w:t>
            </w:r>
          </w:p>
          <w:p w:rsidR="002B3815" w:rsidRDefault="0099452B" w:rsidP="0099452B">
            <w:pPr>
              <w:numPr>
                <w:ilvl w:val="0"/>
                <w:numId w:val="66"/>
              </w:numPr>
              <w:spacing w:before="240" w:after="240"/>
              <w:ind w:hanging="280"/>
              <w:jc w:val="left"/>
              <w:rPr>
                <w:szCs w:val="24"/>
              </w:rPr>
            </w:pPr>
            <w:r>
              <w:rPr>
                <w:szCs w:val="24"/>
              </w:rPr>
              <w:t>До каква степен мярка „Т</w:t>
            </w:r>
            <w:r>
              <w:rPr>
                <w:szCs w:val="24"/>
              </w:rPr>
              <w:t>ехническа помощ“ е допринесла за постигането на целите на ПРСР?</w:t>
            </w:r>
          </w:p>
          <w:p w:rsidR="002B3815" w:rsidRDefault="0099452B">
            <w:pPr>
              <w:spacing w:before="240" w:after="240"/>
              <w:jc w:val="left"/>
              <w:rPr>
                <w:szCs w:val="24"/>
              </w:rPr>
            </w:pPr>
            <w:r>
              <w:rPr>
                <w:b/>
                <w:bCs/>
                <w:szCs w:val="24"/>
              </w:rPr>
              <w:t>Национална селска мрежа (НСМ)</w:t>
            </w:r>
          </w:p>
          <w:p w:rsidR="002B3815" w:rsidRDefault="0099452B" w:rsidP="0099452B">
            <w:pPr>
              <w:numPr>
                <w:ilvl w:val="0"/>
                <w:numId w:val="67"/>
              </w:numPr>
              <w:spacing w:before="240" w:after="240"/>
              <w:ind w:hanging="280"/>
              <w:jc w:val="left"/>
              <w:rPr>
                <w:szCs w:val="24"/>
              </w:rPr>
            </w:pPr>
            <w:r>
              <w:rPr>
                <w:szCs w:val="24"/>
              </w:rPr>
              <w:t>До каква степен способността за програмиране и прилагане на Управляващия орган (и на другите звена) са били засилени, чрез дейностите на НСМ?</w:t>
            </w:r>
          </w:p>
          <w:p w:rsidR="002B3815" w:rsidRDefault="0099452B">
            <w:pPr>
              <w:spacing w:before="240" w:after="240"/>
              <w:jc w:val="left"/>
              <w:rPr>
                <w:szCs w:val="24"/>
              </w:rPr>
            </w:pPr>
            <w:r>
              <w:rPr>
                <w:b/>
                <w:bCs/>
                <w:szCs w:val="24"/>
              </w:rPr>
              <w:t>Хоризонтални общи въ</w:t>
            </w:r>
            <w:r>
              <w:rPr>
                <w:b/>
                <w:bCs/>
                <w:szCs w:val="24"/>
              </w:rPr>
              <w:t>проси</w:t>
            </w:r>
          </w:p>
          <w:p w:rsidR="002B3815" w:rsidRDefault="0099452B" w:rsidP="0099452B">
            <w:pPr>
              <w:numPr>
                <w:ilvl w:val="0"/>
                <w:numId w:val="68"/>
              </w:numPr>
              <w:spacing w:before="240" w:after="0"/>
              <w:ind w:hanging="280"/>
              <w:jc w:val="left"/>
              <w:rPr>
                <w:szCs w:val="24"/>
              </w:rPr>
            </w:pPr>
            <w:r>
              <w:rPr>
                <w:szCs w:val="24"/>
              </w:rPr>
              <w:t>До каква степен ПРСР е допринесла за смекчаване на промените в климата и приспособяване? (</w:t>
            </w:r>
            <w:r>
              <w:rPr>
                <w:i/>
                <w:iCs/>
                <w:szCs w:val="24"/>
              </w:rPr>
              <w:t>Health Check objective, отнасяща се за всички оси</w:t>
            </w:r>
            <w:r>
              <w:rPr>
                <w:szCs w:val="24"/>
              </w:rPr>
              <w:t>);</w:t>
            </w:r>
          </w:p>
          <w:p w:rsidR="002B3815" w:rsidRDefault="0099452B" w:rsidP="0099452B">
            <w:pPr>
              <w:numPr>
                <w:ilvl w:val="0"/>
                <w:numId w:val="68"/>
              </w:numPr>
              <w:spacing w:before="0" w:after="0"/>
              <w:ind w:hanging="280"/>
              <w:jc w:val="left"/>
              <w:rPr>
                <w:szCs w:val="24"/>
              </w:rPr>
            </w:pPr>
            <w:r>
              <w:rPr>
                <w:szCs w:val="24"/>
              </w:rPr>
              <w:t>До каква степен ПРСР е допринесла за осигуряване на възобновяема енергия? (</w:t>
            </w:r>
            <w:r>
              <w:rPr>
                <w:i/>
                <w:iCs/>
                <w:szCs w:val="24"/>
              </w:rPr>
              <w:t xml:space="preserve">Health Check objective, отнасяща </w:t>
            </w:r>
            <w:r>
              <w:rPr>
                <w:i/>
                <w:iCs/>
                <w:szCs w:val="24"/>
              </w:rPr>
              <w:t>се за всички оси</w:t>
            </w:r>
            <w:r>
              <w:rPr>
                <w:szCs w:val="24"/>
              </w:rPr>
              <w:t>);</w:t>
            </w:r>
          </w:p>
          <w:p w:rsidR="002B3815" w:rsidRDefault="0099452B" w:rsidP="0099452B">
            <w:pPr>
              <w:numPr>
                <w:ilvl w:val="0"/>
                <w:numId w:val="68"/>
              </w:numPr>
              <w:spacing w:before="0" w:after="0"/>
              <w:ind w:hanging="280"/>
              <w:jc w:val="left"/>
              <w:rPr>
                <w:szCs w:val="24"/>
              </w:rPr>
            </w:pPr>
            <w:r>
              <w:rPr>
                <w:szCs w:val="24"/>
              </w:rPr>
              <w:t>До каква степен ПРСР е допринесла за подобряване на управлението на водните ресурси? (качество, употреба и количество)? (</w:t>
            </w:r>
            <w:r>
              <w:rPr>
                <w:i/>
                <w:iCs/>
                <w:szCs w:val="24"/>
              </w:rPr>
              <w:t>Health Check objective, отнасяща се за всички оси</w:t>
            </w:r>
            <w:r>
              <w:rPr>
                <w:szCs w:val="24"/>
              </w:rPr>
              <w:t>);</w:t>
            </w:r>
          </w:p>
          <w:p w:rsidR="002B3815" w:rsidRDefault="0099452B" w:rsidP="0099452B">
            <w:pPr>
              <w:numPr>
                <w:ilvl w:val="0"/>
                <w:numId w:val="68"/>
              </w:numPr>
              <w:spacing w:before="0" w:after="0"/>
              <w:ind w:hanging="280"/>
              <w:jc w:val="left"/>
              <w:rPr>
                <w:szCs w:val="24"/>
              </w:rPr>
            </w:pPr>
            <w:r>
              <w:rPr>
                <w:szCs w:val="24"/>
              </w:rPr>
              <w:t>До каква степен ПРСР е допринесла за въвеждане на иновативни под</w:t>
            </w:r>
            <w:r>
              <w:rPr>
                <w:szCs w:val="24"/>
              </w:rPr>
              <w:t>ходи? (</w:t>
            </w:r>
            <w:r>
              <w:rPr>
                <w:i/>
                <w:iCs/>
                <w:szCs w:val="24"/>
              </w:rPr>
              <w:t>Health Check objective, отнасяща се за всички оси</w:t>
            </w:r>
            <w:r>
              <w:rPr>
                <w:szCs w:val="24"/>
              </w:rPr>
              <w:t>);</w:t>
            </w:r>
          </w:p>
          <w:p w:rsidR="002B3815" w:rsidRDefault="0099452B" w:rsidP="0099452B">
            <w:pPr>
              <w:numPr>
                <w:ilvl w:val="0"/>
                <w:numId w:val="68"/>
              </w:numPr>
              <w:spacing w:before="0" w:after="240"/>
              <w:ind w:hanging="280"/>
              <w:jc w:val="left"/>
              <w:rPr>
                <w:szCs w:val="24"/>
              </w:rPr>
            </w:pPr>
            <w:r>
              <w:rPr>
                <w:szCs w:val="24"/>
              </w:rPr>
              <w:t>До каква степен НСМ е допринесла за достигане на целите на ПРСР? (</w:t>
            </w:r>
            <w:r>
              <w:rPr>
                <w:i/>
                <w:iCs/>
                <w:szCs w:val="24"/>
              </w:rPr>
              <w:t xml:space="preserve">НСМ ще бъде оценявана отделно от останалите оси). </w:t>
            </w:r>
          </w:p>
          <w:p w:rsidR="002B3815" w:rsidRDefault="0099452B">
            <w:pPr>
              <w:spacing w:before="240" w:after="240"/>
              <w:jc w:val="left"/>
              <w:rPr>
                <w:szCs w:val="24"/>
              </w:rPr>
            </w:pPr>
            <w:r>
              <w:rPr>
                <w:szCs w:val="24"/>
              </w:rPr>
              <w:t>На 11.06.2018 г., с решение на Министъра на Министерство на земеделието, храните</w:t>
            </w:r>
            <w:r>
              <w:rPr>
                <w:szCs w:val="24"/>
              </w:rPr>
              <w:t xml:space="preserve"> и горите беше обявена процедура за възлагане на обществена поръчка с предмет „изготвяне на текуща оценка на Програмата за развитие на селските райони за периода 2014 - 2020 г. (ПРСР), от стартирането на ПРСР през 2015 г. до края на 2018 г. Съгласно чл. 56</w:t>
            </w:r>
            <w:r>
              <w:rPr>
                <w:szCs w:val="24"/>
              </w:rPr>
              <w:t xml:space="preserve"> от Регламент (ЕС) 1303/2013 на Европейския парламент и на Съвета от 17 декември 2013 г. поне веднъж през програмния период 2014 - 2020 г. се провежда оценка, с която се оценява приноса от подкрепата на европейските структурни и инвестиционни фондове за по</w:t>
            </w:r>
            <w:r>
              <w:rPr>
                <w:szCs w:val="24"/>
              </w:rPr>
              <w:t xml:space="preserve">стигането на целите по всеки приоритет.”. В срока за подаване на оферти и заявление за участие, който е до 17.30 на 17.07.2018 г., са постъпили 5 /пет/ предложение. След отваряне на офертите, преглед и класиране на участниците, за изпълнител на дейностите </w:t>
            </w:r>
            <w:r>
              <w:rPr>
                <w:szCs w:val="24"/>
              </w:rPr>
              <w:t>по извършване на Текуща оценка на ПРСР 2014 – 2020 г. до 2018 г. е избрано еднолично дружество с ограничена отговорност с фирма „ЕВРОСТАРТ 2008“. Обявлението е изпратено до ОВ на ЕС 07.11.2018 г. с изх. № РД 51-155 от дата: 07.11.2018 г.</w:t>
            </w:r>
          </w:p>
          <w:p w:rsidR="002B3815" w:rsidRDefault="002B3815">
            <w:pPr>
              <w:pStyle w:val="BodyText"/>
            </w:pPr>
          </w:p>
        </w:tc>
      </w:tr>
    </w:tbl>
    <w:p w:rsidR="002B3815" w:rsidRDefault="0099452B">
      <w:pPr>
        <w:pStyle w:val="Heading2"/>
      </w:pPr>
      <w:bookmarkStart w:id="38" w:name="_Toc256000175"/>
      <w:bookmarkStart w:id="39" w:name="_Toc256000093"/>
      <w:bookmarkStart w:id="40" w:name="_Toc256000011"/>
      <w:r>
        <w:t>Описание на дейн</w:t>
      </w:r>
      <w:r>
        <w:t>остите, предприети по отношение на предоставянето и управлението на данни (във връзка с раздел 4 на плана за оценка)</w:t>
      </w:r>
      <w:bookmarkEnd w:id="38"/>
      <w:bookmarkEnd w:id="39"/>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2B3815">
        <w:tc>
          <w:tcPr>
            <w:tcW w:w="750" w:type="pct"/>
            <w:shd w:val="clear" w:color="auto" w:fill="auto"/>
            <w:vAlign w:val="center"/>
          </w:tcPr>
          <w:p w:rsidR="002B3815" w:rsidRDefault="0099452B">
            <w:pPr>
              <w:spacing w:before="0" w:after="240"/>
              <w:jc w:val="left"/>
              <w:rPr>
                <w:szCs w:val="24"/>
              </w:rPr>
            </w:pPr>
            <w:r>
              <w:rPr>
                <w:szCs w:val="24"/>
              </w:rPr>
              <w:t>1. В периода на прилагане на ПРСР, са проведени редица срещи между представители на НСИ, УО на ПРСР и ДФЗ-РА. Целта е да се отговори на пре</w:t>
            </w:r>
            <w:r>
              <w:rPr>
                <w:szCs w:val="24"/>
              </w:rPr>
              <w:t>дварително условие 7 и неговото реално изпълнение. От НСИ са разработени фишове за метаданни, а в края на 2016 г. е подписано тристранно споразумение между МЗХ, НСИ и ДФЗ-РА относно получаването на данните, касаещи изпълнението на Предварително условие 7.</w:t>
            </w:r>
          </w:p>
          <w:p w:rsidR="002B3815" w:rsidRDefault="0099452B">
            <w:pPr>
              <w:spacing w:before="240" w:after="240"/>
              <w:jc w:val="left"/>
              <w:rPr>
                <w:szCs w:val="24"/>
              </w:rPr>
            </w:pPr>
            <w:r>
              <w:rPr>
                <w:szCs w:val="24"/>
              </w:rPr>
              <w:t>2. В изпълнение на плана за оценка на ПРСР, Министерство на земеделието, храните и горите е отправило официално искане за предоставяне на информация за целите на оценката  и Годишен доклад до:</w:t>
            </w:r>
          </w:p>
          <w:p w:rsidR="002B3815" w:rsidRDefault="0099452B" w:rsidP="0099452B">
            <w:pPr>
              <w:numPr>
                <w:ilvl w:val="0"/>
                <w:numId w:val="69"/>
              </w:numPr>
              <w:spacing w:before="240" w:after="0"/>
              <w:ind w:hanging="210"/>
              <w:jc w:val="left"/>
              <w:rPr>
                <w:szCs w:val="24"/>
              </w:rPr>
            </w:pPr>
            <w:r>
              <w:rPr>
                <w:szCs w:val="24"/>
              </w:rPr>
              <w:t>Дирекция „Земеделие и регионална политика“ към МЗХГ;</w:t>
            </w:r>
          </w:p>
          <w:p w:rsidR="002B3815" w:rsidRDefault="0099452B" w:rsidP="0099452B">
            <w:pPr>
              <w:numPr>
                <w:ilvl w:val="0"/>
                <w:numId w:val="69"/>
              </w:numPr>
              <w:spacing w:before="0" w:after="0"/>
              <w:ind w:hanging="210"/>
              <w:jc w:val="left"/>
              <w:rPr>
                <w:szCs w:val="24"/>
              </w:rPr>
            </w:pPr>
            <w:r>
              <w:rPr>
                <w:szCs w:val="24"/>
              </w:rPr>
              <w:t>Дирекция „</w:t>
            </w:r>
            <w:r>
              <w:rPr>
                <w:szCs w:val="24"/>
              </w:rPr>
              <w:t>Държавни помощи и регулации“ към МЗХГ;</w:t>
            </w:r>
          </w:p>
          <w:p w:rsidR="002B3815" w:rsidRDefault="0099452B" w:rsidP="0099452B">
            <w:pPr>
              <w:numPr>
                <w:ilvl w:val="0"/>
                <w:numId w:val="69"/>
              </w:numPr>
              <w:spacing w:before="0" w:after="0"/>
              <w:ind w:hanging="210"/>
              <w:jc w:val="left"/>
              <w:rPr>
                <w:szCs w:val="24"/>
              </w:rPr>
            </w:pPr>
            <w:r>
              <w:rPr>
                <w:szCs w:val="24"/>
              </w:rPr>
              <w:t>Дирекция „Пазарни мерки и организации на производители“ към МЗХГ;</w:t>
            </w:r>
          </w:p>
          <w:p w:rsidR="002B3815" w:rsidRDefault="0099452B" w:rsidP="0099452B">
            <w:pPr>
              <w:numPr>
                <w:ilvl w:val="0"/>
                <w:numId w:val="69"/>
              </w:numPr>
              <w:spacing w:before="0" w:after="0"/>
              <w:ind w:hanging="210"/>
              <w:jc w:val="left"/>
              <w:rPr>
                <w:szCs w:val="24"/>
              </w:rPr>
            </w:pPr>
            <w:r>
              <w:rPr>
                <w:szCs w:val="24"/>
              </w:rPr>
              <w:t>Дирекция „Директни плащания и идентификация на земеделски парцели“ към МЗХГ;</w:t>
            </w:r>
          </w:p>
          <w:p w:rsidR="002B3815" w:rsidRDefault="0099452B" w:rsidP="0099452B">
            <w:pPr>
              <w:numPr>
                <w:ilvl w:val="0"/>
                <w:numId w:val="69"/>
              </w:numPr>
              <w:spacing w:before="0" w:after="0"/>
              <w:ind w:hanging="210"/>
              <w:jc w:val="left"/>
              <w:rPr>
                <w:szCs w:val="24"/>
              </w:rPr>
            </w:pPr>
            <w:r>
              <w:rPr>
                <w:szCs w:val="24"/>
              </w:rPr>
              <w:t>Дирекция „Поземлени отношения и комасация“ към МЗХГ;</w:t>
            </w:r>
          </w:p>
          <w:p w:rsidR="002B3815" w:rsidRDefault="0099452B" w:rsidP="0099452B">
            <w:pPr>
              <w:numPr>
                <w:ilvl w:val="0"/>
                <w:numId w:val="69"/>
              </w:numPr>
              <w:spacing w:before="0" w:after="0"/>
              <w:ind w:hanging="210"/>
              <w:jc w:val="left"/>
              <w:rPr>
                <w:szCs w:val="24"/>
              </w:rPr>
            </w:pPr>
            <w:r>
              <w:rPr>
                <w:szCs w:val="24"/>
              </w:rPr>
              <w:t>Дирекция „Развитие на</w:t>
            </w:r>
            <w:r>
              <w:rPr>
                <w:szCs w:val="24"/>
              </w:rPr>
              <w:t xml:space="preserve"> селските райони” към МЗХГ</w:t>
            </w:r>
          </w:p>
          <w:p w:rsidR="002B3815" w:rsidRDefault="0099452B" w:rsidP="0099452B">
            <w:pPr>
              <w:numPr>
                <w:ilvl w:val="0"/>
                <w:numId w:val="69"/>
              </w:numPr>
              <w:spacing w:before="0" w:after="0"/>
              <w:ind w:hanging="210"/>
              <w:jc w:val="left"/>
              <w:rPr>
                <w:szCs w:val="24"/>
              </w:rPr>
            </w:pPr>
            <w:r>
              <w:rPr>
                <w:szCs w:val="24"/>
              </w:rPr>
              <w:t>Отдел „Агростатистика“ към МЗХГ;</w:t>
            </w:r>
          </w:p>
          <w:p w:rsidR="002B3815" w:rsidRDefault="0099452B" w:rsidP="0099452B">
            <w:pPr>
              <w:numPr>
                <w:ilvl w:val="0"/>
                <w:numId w:val="69"/>
              </w:numPr>
              <w:spacing w:before="0" w:after="0"/>
              <w:ind w:hanging="210"/>
              <w:jc w:val="left"/>
              <w:rPr>
                <w:szCs w:val="24"/>
              </w:rPr>
            </w:pPr>
            <w:r>
              <w:rPr>
                <w:szCs w:val="24"/>
              </w:rPr>
              <w:t>Национален статистически институт;</w:t>
            </w:r>
          </w:p>
          <w:p w:rsidR="002B3815" w:rsidRDefault="0099452B" w:rsidP="0099452B">
            <w:pPr>
              <w:numPr>
                <w:ilvl w:val="0"/>
                <w:numId w:val="69"/>
              </w:numPr>
              <w:spacing w:before="0" w:after="0"/>
              <w:ind w:hanging="210"/>
              <w:jc w:val="left"/>
              <w:rPr>
                <w:szCs w:val="24"/>
              </w:rPr>
            </w:pPr>
            <w:r>
              <w:rPr>
                <w:szCs w:val="24"/>
              </w:rPr>
              <w:t>Българска агенция по безопастност на храните;</w:t>
            </w:r>
          </w:p>
          <w:p w:rsidR="002B3815" w:rsidRDefault="0099452B" w:rsidP="0099452B">
            <w:pPr>
              <w:numPr>
                <w:ilvl w:val="0"/>
                <w:numId w:val="69"/>
              </w:numPr>
              <w:spacing w:before="0" w:after="0"/>
              <w:ind w:hanging="210"/>
              <w:jc w:val="left"/>
              <w:rPr>
                <w:szCs w:val="24"/>
              </w:rPr>
            </w:pPr>
            <w:r>
              <w:rPr>
                <w:szCs w:val="24"/>
              </w:rPr>
              <w:t>Държавен фонд „Земеделие” – РА;</w:t>
            </w:r>
          </w:p>
          <w:p w:rsidR="002B3815" w:rsidRDefault="0099452B" w:rsidP="0099452B">
            <w:pPr>
              <w:numPr>
                <w:ilvl w:val="0"/>
                <w:numId w:val="69"/>
              </w:numPr>
              <w:spacing w:before="0" w:after="0"/>
              <w:ind w:hanging="210"/>
              <w:jc w:val="left"/>
              <w:rPr>
                <w:szCs w:val="24"/>
              </w:rPr>
            </w:pPr>
            <w:r>
              <w:rPr>
                <w:szCs w:val="24"/>
              </w:rPr>
              <w:t>Национална служба за съвети в земеделието (НССЗ);</w:t>
            </w:r>
          </w:p>
          <w:p w:rsidR="002B3815" w:rsidRDefault="0099452B" w:rsidP="0099452B">
            <w:pPr>
              <w:numPr>
                <w:ilvl w:val="0"/>
                <w:numId w:val="69"/>
              </w:numPr>
              <w:spacing w:before="0" w:after="240"/>
              <w:ind w:hanging="210"/>
              <w:jc w:val="left"/>
              <w:rPr>
                <w:szCs w:val="24"/>
              </w:rPr>
            </w:pPr>
            <w:r>
              <w:rPr>
                <w:szCs w:val="24"/>
              </w:rPr>
              <w:t xml:space="preserve">Изпълнителна агенция по околна </w:t>
            </w:r>
            <w:r>
              <w:rPr>
                <w:szCs w:val="24"/>
              </w:rPr>
              <w:t>среда (ИАОС).</w:t>
            </w:r>
          </w:p>
          <w:p w:rsidR="002B3815" w:rsidRDefault="0099452B">
            <w:pPr>
              <w:spacing w:before="240" w:after="240"/>
              <w:jc w:val="left"/>
              <w:rPr>
                <w:szCs w:val="24"/>
              </w:rPr>
            </w:pPr>
            <w:r>
              <w:rPr>
                <w:szCs w:val="24"/>
              </w:rPr>
              <w:t>В отговор са получени основн част от данните, използвани при изготвяне на текущата оценка на ПРСР 2014 – 2020 г. до 2018 г.</w:t>
            </w:r>
          </w:p>
          <w:p w:rsidR="002B3815" w:rsidRDefault="002B3815">
            <w:pPr>
              <w:pStyle w:val="BodyText"/>
            </w:pPr>
          </w:p>
        </w:tc>
      </w:tr>
    </w:tbl>
    <w:p w:rsidR="002B3815" w:rsidRDefault="002B3815">
      <w:pPr>
        <w:sectPr w:rsidR="002B3815">
          <w:pgSz w:w="12240" w:h="15840"/>
          <w:pgMar w:top="900" w:right="900" w:bottom="900" w:left="900" w:header="720" w:footer="720" w:gutter="0"/>
          <w:cols w:space="720"/>
        </w:sectPr>
      </w:pPr>
    </w:p>
    <w:p w:rsidR="002B3815" w:rsidRDefault="0099452B">
      <w:pPr>
        <w:pStyle w:val="Heading2"/>
      </w:pPr>
      <w:bookmarkStart w:id="41" w:name="_Toc256000176"/>
      <w:bookmarkStart w:id="42" w:name="_Toc256000094"/>
      <w:bookmarkStart w:id="43" w:name="_Toc256000012"/>
      <w:r>
        <w:t>Списък на завършените оценки, включително посочване на местата, където те са публикувани в интернет</w:t>
      </w:r>
      <w:bookmarkEnd w:id="41"/>
      <w:bookmarkEnd w:id="42"/>
      <w:bookmarkEnd w:id="43"/>
    </w:p>
    <w:p w:rsidR="002B3815" w:rsidRDefault="0099452B">
      <w:pPr>
        <w:jc w:val="left"/>
      </w:pPr>
      <w:r>
        <w:t xml:space="preserve">Не са </w:t>
      </w:r>
      <w:r>
        <w:t>дефинирани приключени оценки</w:t>
      </w:r>
    </w:p>
    <w:p w:rsidR="002B3815" w:rsidRDefault="002B3815">
      <w:pPr>
        <w:sectPr w:rsidR="002B3815">
          <w:pgSz w:w="12240" w:h="15840"/>
          <w:pgMar w:top="900" w:right="900" w:bottom="900" w:left="900" w:header="720" w:footer="720" w:gutter="0"/>
          <w:cols w:space="720"/>
        </w:sectPr>
      </w:pPr>
    </w:p>
    <w:p w:rsidR="002B3815" w:rsidRDefault="0099452B">
      <w:pPr>
        <w:pStyle w:val="Heading2"/>
      </w:pPr>
      <w:bookmarkStart w:id="44" w:name="_Toc256000177"/>
      <w:bookmarkStart w:id="45" w:name="_Toc256000095"/>
      <w:bookmarkStart w:id="46" w:name="_Toc256000013"/>
      <w:r>
        <w:t>Резюме на приключени оценки, което се съсредоточава върху заключенията от тях</w:t>
      </w:r>
      <w:bookmarkEnd w:id="44"/>
      <w:bookmarkEnd w:id="45"/>
      <w:bookmarkEnd w:id="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75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Към 31.12.2018 г. не са дефинирани приключени оценки извън годишните доклади на ПРСР.</w:t>
            </w:r>
          </w:p>
          <w:p w:rsidR="002B3815" w:rsidRDefault="002B3815">
            <w:pPr>
              <w:pStyle w:val="BodyText"/>
            </w:pPr>
          </w:p>
        </w:tc>
      </w:tr>
    </w:tbl>
    <w:p w:rsidR="002B3815" w:rsidRDefault="0099452B">
      <w:pPr>
        <w:pStyle w:val="Heading2"/>
      </w:pPr>
      <w:bookmarkStart w:id="47" w:name="_Toc256000178"/>
      <w:bookmarkStart w:id="48" w:name="_Toc256000096"/>
      <w:bookmarkStart w:id="49" w:name="_Toc256000014"/>
      <w:r>
        <w:t xml:space="preserve">Описание на дейностите, предприети по отношение на </w:t>
      </w:r>
      <w:r>
        <w:t>публикуването на констатациите от оценката (във връзка с раздел 6 на плана за оценка)</w:t>
      </w:r>
      <w:bookmarkEnd w:id="47"/>
      <w:bookmarkEnd w:id="48"/>
      <w:bookmarkEnd w:id="49"/>
    </w:p>
    <w:p w:rsidR="002B3815" w:rsidRDefault="0099452B">
      <w:pPr>
        <w:jc w:val="left"/>
        <w:sectPr w:rsidR="002B3815">
          <w:pgSz w:w="12240" w:h="15840"/>
          <w:pgMar w:top="900" w:right="900" w:bottom="900" w:left="900" w:header="720" w:footer="720" w:gutter="0"/>
          <w:cols w:space="720"/>
        </w:sectPr>
      </w:pPr>
      <w:r>
        <w:t>Не са дефинирани комуникационни дейности</w:t>
      </w:r>
    </w:p>
    <w:p w:rsidR="002B3815" w:rsidRDefault="0099452B">
      <w:pPr>
        <w:pStyle w:val="Heading2"/>
      </w:pPr>
      <w:bookmarkStart w:id="50" w:name="_Toc256000179"/>
      <w:bookmarkStart w:id="51" w:name="_Toc256000097"/>
      <w:bookmarkStart w:id="52" w:name="_Toc256000015"/>
      <w:r>
        <w:t>Описание на предприетите последващи действия във връзка с резултатите от оценката (във връзка с раздел 6 на плана за оце</w:t>
      </w:r>
      <w:r>
        <w:t>нка)</w:t>
      </w:r>
      <w:bookmarkEnd w:id="50"/>
      <w:bookmarkEnd w:id="51"/>
      <w:bookmarkEnd w:id="52"/>
    </w:p>
    <w:p w:rsidR="002B3815" w:rsidRDefault="0099452B">
      <w:pPr>
        <w:jc w:val="left"/>
        <w:sectPr w:rsidR="002B3815">
          <w:pgSz w:w="12240" w:h="15840"/>
          <w:pgMar w:top="900" w:right="900" w:bottom="900" w:left="900" w:header="720" w:footer="720" w:gutter="0"/>
          <w:cols w:space="720"/>
        </w:sectPr>
      </w:pPr>
      <w:r>
        <w:t>Не са дефинирани последващи действия</w:t>
      </w:r>
    </w:p>
    <w:p w:rsidR="002B3815" w:rsidRDefault="0099452B">
      <w:pPr>
        <w:pStyle w:val="Heading1"/>
        <w:jc w:val="left"/>
      </w:pPr>
      <w:bookmarkStart w:id="53" w:name="_Toc256000180"/>
      <w:bookmarkStart w:id="54" w:name="_Toc256000098"/>
      <w:bookmarkStart w:id="55" w:name="_Toc256000016"/>
      <w:r>
        <w:t>Проблеми, свързани с изпълнението на програмата и приетите мерки</w:t>
      </w:r>
      <w:bookmarkEnd w:id="53"/>
      <w:bookmarkEnd w:id="54"/>
      <w:bookmarkEnd w:id="55"/>
    </w:p>
    <w:p w:rsidR="002B3815" w:rsidRDefault="0099452B">
      <w:pPr>
        <w:pStyle w:val="Heading2"/>
      </w:pPr>
      <w:bookmarkStart w:id="56" w:name="_Toc256000181"/>
      <w:bookmarkStart w:id="57" w:name="_Toc256000099"/>
      <w:bookmarkStart w:id="58" w:name="_Toc256000017"/>
      <w:r>
        <w:t>Описание на предприетите стъпки за осигуряване на качеството и ефективността на изпълнението на програмата</w:t>
      </w:r>
      <w:bookmarkEnd w:id="56"/>
      <w:bookmarkEnd w:id="57"/>
      <w:bookmarkEnd w:id="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75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През 2018 г. в рамките ПРСР 2014 </w:t>
            </w:r>
            <w:r>
              <w:rPr>
                <w:szCs w:val="24"/>
              </w:rPr>
              <w:t>- 2020 „стандартни разходи“ се прилагат по следните мерки/подмерки:</w:t>
            </w:r>
          </w:p>
          <w:p w:rsidR="002B3815" w:rsidRDefault="0099452B" w:rsidP="0099452B">
            <w:pPr>
              <w:numPr>
                <w:ilvl w:val="0"/>
                <w:numId w:val="70"/>
              </w:numPr>
              <w:spacing w:before="240" w:after="0"/>
              <w:ind w:hanging="210"/>
              <w:jc w:val="left"/>
              <w:rPr>
                <w:szCs w:val="24"/>
              </w:rPr>
            </w:pPr>
            <w:r>
              <w:rPr>
                <w:szCs w:val="24"/>
              </w:rPr>
              <w:t>мярка 1„Трансфер на знания и действия по осведомяване“;</w:t>
            </w:r>
          </w:p>
          <w:p w:rsidR="002B3815" w:rsidRDefault="0099452B" w:rsidP="0099452B">
            <w:pPr>
              <w:numPr>
                <w:ilvl w:val="0"/>
                <w:numId w:val="70"/>
              </w:numPr>
              <w:spacing w:before="0" w:after="0"/>
              <w:ind w:hanging="210"/>
              <w:jc w:val="left"/>
              <w:rPr>
                <w:szCs w:val="24"/>
              </w:rPr>
            </w:pPr>
            <w:r>
              <w:rPr>
                <w:szCs w:val="24"/>
              </w:rPr>
              <w:t>мярка 2 „Консултантски услуги, управление на стопанството и услуги по заместване в стопанството“;</w:t>
            </w:r>
          </w:p>
          <w:p w:rsidR="002B3815" w:rsidRDefault="0099452B" w:rsidP="0099452B">
            <w:pPr>
              <w:numPr>
                <w:ilvl w:val="0"/>
                <w:numId w:val="70"/>
              </w:numPr>
              <w:spacing w:before="0" w:after="0"/>
              <w:ind w:hanging="210"/>
              <w:jc w:val="left"/>
              <w:rPr>
                <w:szCs w:val="24"/>
              </w:rPr>
            </w:pPr>
            <w:r>
              <w:rPr>
                <w:szCs w:val="24"/>
              </w:rPr>
              <w:t>мярка 8 „Инвестиции в горски терит</w:t>
            </w:r>
            <w:r>
              <w:rPr>
                <w:szCs w:val="24"/>
              </w:rPr>
              <w:t>ории, развитие и подобряване на жизнеността на горите”;</w:t>
            </w:r>
          </w:p>
          <w:p w:rsidR="002B3815" w:rsidRDefault="0099452B" w:rsidP="0099452B">
            <w:pPr>
              <w:numPr>
                <w:ilvl w:val="0"/>
                <w:numId w:val="70"/>
              </w:numPr>
              <w:spacing w:before="0" w:after="0"/>
              <w:ind w:hanging="210"/>
              <w:jc w:val="left"/>
              <w:rPr>
                <w:szCs w:val="24"/>
              </w:rPr>
            </w:pPr>
            <w:r>
              <w:rPr>
                <w:szCs w:val="24"/>
              </w:rPr>
              <w:t> мярка 16 „Сътрудничество“;</w:t>
            </w:r>
          </w:p>
          <w:p w:rsidR="002B3815" w:rsidRDefault="0099452B" w:rsidP="0099452B">
            <w:pPr>
              <w:numPr>
                <w:ilvl w:val="0"/>
                <w:numId w:val="70"/>
              </w:numPr>
              <w:spacing w:before="0" w:after="240"/>
              <w:ind w:hanging="210"/>
              <w:jc w:val="left"/>
              <w:rPr>
                <w:szCs w:val="24"/>
              </w:rPr>
            </w:pPr>
            <w:r>
              <w:rPr>
                <w:szCs w:val="24"/>
              </w:rPr>
              <w:t>мярка 19 „Подкрепа за ЛИДЕР местно развитие”.</w:t>
            </w:r>
          </w:p>
          <w:p w:rsidR="002B3815" w:rsidRDefault="0099452B">
            <w:pPr>
              <w:spacing w:before="240" w:after="240"/>
              <w:jc w:val="left"/>
              <w:rPr>
                <w:szCs w:val="24"/>
              </w:rPr>
            </w:pPr>
            <w:r>
              <w:rPr>
                <w:szCs w:val="24"/>
              </w:rPr>
              <w:t xml:space="preserve">През 2018 г.   </w:t>
            </w:r>
            <w:r>
              <w:rPr>
                <w:i/>
                <w:iCs/>
                <w:szCs w:val="24"/>
              </w:rPr>
              <w:t>мярка 1„Трансфер на знания и действия по осведомяване“</w:t>
            </w:r>
            <w:r>
              <w:rPr>
                <w:szCs w:val="24"/>
              </w:rPr>
              <w:t xml:space="preserve"> не е стартирана за прилагане от страна на Управляващият орган, въпреки, че са проведени приеми по подмерки 6.1 и 6.3, чиито ползватели биха се възползвали от възможността за обучение или повишаване на тяхната квалификация.</w:t>
            </w:r>
          </w:p>
          <w:p w:rsidR="002B3815" w:rsidRDefault="0099452B">
            <w:pPr>
              <w:spacing w:before="240" w:after="240"/>
              <w:jc w:val="left"/>
              <w:rPr>
                <w:szCs w:val="24"/>
              </w:rPr>
            </w:pPr>
            <w:r>
              <w:rPr>
                <w:szCs w:val="24"/>
              </w:rPr>
              <w:t>През 2018 г. са извършени плащан</w:t>
            </w:r>
            <w:r>
              <w:rPr>
                <w:szCs w:val="24"/>
              </w:rPr>
              <w:t>ия по стартиралата през 2015 г. мярка 2 „</w:t>
            </w:r>
            <w:r>
              <w:rPr>
                <w:i/>
                <w:iCs/>
                <w:szCs w:val="24"/>
              </w:rPr>
              <w:t>Консултантски услуги, управление на стопанството и услуги по заместване в стопанството</w:t>
            </w:r>
            <w:r>
              <w:rPr>
                <w:szCs w:val="24"/>
              </w:rPr>
              <w:t>“. Ползвател на финансовата помощ е НССЗ, като в съответствие с утвърдените консултантски пакети, са предоставени  безплатни конс</w:t>
            </w:r>
            <w:r>
              <w:rPr>
                <w:szCs w:val="24"/>
              </w:rPr>
              <w:t>ултантски услуги на кандидати по подмярка 6.1., свързани с подготвка на бизнес-план и заявление за подпомагане, както и необходимото обучение за стартиране на бизнес в областта на земеделието. Определеният стандартен разход е в размер на 814 евро за предос</w:t>
            </w:r>
            <w:r>
              <w:rPr>
                <w:szCs w:val="24"/>
              </w:rPr>
              <w:t>тавен консултантски пакет, като същият е определен по методика, при която е определена една обща стойност за целия пакет.</w:t>
            </w:r>
          </w:p>
          <w:p w:rsidR="002B3815" w:rsidRDefault="0099452B">
            <w:pPr>
              <w:spacing w:before="240" w:after="240"/>
              <w:jc w:val="left"/>
              <w:rPr>
                <w:szCs w:val="24"/>
              </w:rPr>
            </w:pPr>
            <w:r>
              <w:rPr>
                <w:szCs w:val="24"/>
              </w:rPr>
              <w:t>Стандартните разходи са изчислени от Управляващия орган на програмата на базата на практически опит и информацията от прилагането на м</w:t>
            </w:r>
            <w:r>
              <w:rPr>
                <w:szCs w:val="24"/>
              </w:rPr>
              <w:t>ярка 143 и мярка 114 от ПРСР 2007-2013г. 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w:t>
            </w:r>
          </w:p>
          <w:p w:rsidR="002B3815" w:rsidRDefault="0099452B">
            <w:pPr>
              <w:spacing w:before="240" w:after="240"/>
              <w:jc w:val="left"/>
              <w:rPr>
                <w:szCs w:val="24"/>
              </w:rPr>
            </w:pPr>
            <w:r>
              <w:rPr>
                <w:szCs w:val="24"/>
              </w:rPr>
              <w:t>Планираният в ин</w:t>
            </w:r>
            <w:r>
              <w:rPr>
                <w:szCs w:val="24"/>
              </w:rPr>
              <w:t xml:space="preserve">дикативната програма на ПРСР прием по </w:t>
            </w:r>
            <w:r>
              <w:rPr>
                <w:i/>
                <w:iCs/>
                <w:szCs w:val="24"/>
              </w:rPr>
              <w:t>мярка 8 „Инвестиции в горски територии, развитие и подобряване на жизнеността на горите”</w:t>
            </w:r>
            <w:r>
              <w:rPr>
                <w:szCs w:val="24"/>
              </w:rPr>
              <w:t xml:space="preserve">за 2017 г. се осъществи през 2018 г. Основната причина за закъснението е започналата през 2017 г. законодателна и административна </w:t>
            </w:r>
            <w:r>
              <w:rPr>
                <w:szCs w:val="24"/>
              </w:rPr>
              <w:t>реформа в правилата за прилагане на ПРСР, която цели да осигури повече публичност и прозрачност. Реформата беше широко подкрепена от заинтересованите страни в сектора, но изпълнението й беше свързано със законодателни изменения, които доведоха до неотварян</w:t>
            </w:r>
            <w:r>
              <w:rPr>
                <w:szCs w:val="24"/>
              </w:rPr>
              <w:t>ето на приеми по подмяркат съгласно графика през 2017 г.</w:t>
            </w:r>
          </w:p>
          <w:p w:rsidR="002B3815" w:rsidRDefault="0099452B">
            <w:pPr>
              <w:spacing w:before="240" w:after="240"/>
              <w:jc w:val="left"/>
              <w:rPr>
                <w:szCs w:val="24"/>
              </w:rPr>
            </w:pPr>
            <w:r>
              <w:rPr>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 гр. София.</w:t>
            </w:r>
          </w:p>
          <w:p w:rsidR="002B3815" w:rsidRDefault="0099452B">
            <w:pPr>
              <w:spacing w:before="240" w:after="240"/>
              <w:jc w:val="left"/>
              <w:rPr>
                <w:szCs w:val="24"/>
              </w:rPr>
            </w:pPr>
            <w:r>
              <w:rPr>
                <w:szCs w:val="24"/>
              </w:rPr>
              <w:t>През 2018</w:t>
            </w:r>
            <w:r>
              <w:rPr>
                <w:szCs w:val="24"/>
              </w:rPr>
              <w:t xml:space="preserve"> г. </w:t>
            </w:r>
            <w:r>
              <w:rPr>
                <w:i/>
                <w:iCs/>
                <w:szCs w:val="24"/>
              </w:rPr>
              <w:t>мярка 16 „Сътрудничество“</w:t>
            </w:r>
            <w:r>
              <w:rPr>
                <w:szCs w:val="24"/>
              </w:rPr>
              <w:t xml:space="preserve"> е стартирана за прилагане от страна на Управляващият орган след разработването на националното законодателство за прилагане на отделните подмерки. Изчисленията на стандартните разходи са извършени от Съюз на икономистите в Бъл</w:t>
            </w:r>
            <w:r>
              <w:rPr>
                <w:szCs w:val="24"/>
              </w:rPr>
              <w:t>гария, който е независим орган от Министерство на земеделието и храните и Държавен фонд „Земеделие“, съгласно изискванитя на Регламент 1305/2013.</w:t>
            </w:r>
          </w:p>
          <w:p w:rsidR="002B3815" w:rsidRDefault="0099452B">
            <w:pPr>
              <w:spacing w:before="240" w:after="240"/>
              <w:jc w:val="left"/>
              <w:rPr>
                <w:szCs w:val="24"/>
              </w:rPr>
            </w:pPr>
            <w:r>
              <w:rPr>
                <w:szCs w:val="24"/>
              </w:rPr>
              <w:t xml:space="preserve">През 2017 г. и 2018 г. след сключването на договори за прилагане на Стратегии за ВОМР от МИГ по първи и втори </w:t>
            </w:r>
            <w:r>
              <w:rPr>
                <w:szCs w:val="24"/>
              </w:rPr>
              <w:t xml:space="preserve">прием по подмярка 19.2 са одобрени и разходи за подмярка 19.4. </w:t>
            </w:r>
            <w:r>
              <w:rPr>
                <w:i/>
                <w:iCs/>
                <w:szCs w:val="24"/>
              </w:rPr>
              <w:t>„Текущи разходи и популяризиране на стратегия за водено от общностите местно развитие“,</w:t>
            </w:r>
            <w:r>
              <w:rPr>
                <w:szCs w:val="24"/>
              </w:rPr>
              <w:t xml:space="preserve"> свързани с изпълнението на всяка стратегия.</w:t>
            </w:r>
          </w:p>
          <w:p w:rsidR="002B3815" w:rsidRDefault="0099452B">
            <w:pPr>
              <w:spacing w:before="240" w:after="240"/>
              <w:jc w:val="left"/>
              <w:rPr>
                <w:szCs w:val="24"/>
              </w:rPr>
            </w:pPr>
            <w:r>
              <w:rPr>
                <w:szCs w:val="24"/>
              </w:rPr>
              <w:t xml:space="preserve">Методиките за изчисление на стандартните разходи по подмерки </w:t>
            </w:r>
            <w:r>
              <w:rPr>
                <w:szCs w:val="24"/>
              </w:rPr>
              <w:t>19.1 19.3 и 19.4 са част от ПРСР и са извършени от Съюза на икономистите в България, който е функционално независим орган от Министерство на земеделието и храните и Държавен фонд „Земеделие“.</w:t>
            </w:r>
          </w:p>
          <w:p w:rsidR="002B3815" w:rsidRDefault="0099452B">
            <w:pPr>
              <w:spacing w:before="240" w:after="240"/>
              <w:jc w:val="left"/>
              <w:rPr>
                <w:szCs w:val="24"/>
              </w:rPr>
            </w:pPr>
            <w:r>
              <w:rPr>
                <w:szCs w:val="24"/>
              </w:rPr>
              <w:t>Използваните подходи при изчисление на стандартните разходи, кои</w:t>
            </w:r>
            <w:r>
              <w:rPr>
                <w:szCs w:val="24"/>
              </w:rPr>
              <w:t>то са приложими по отделните мерки/подмерки са посочени в одобрената ПРСР.</w:t>
            </w:r>
          </w:p>
          <w:p w:rsidR="002B3815" w:rsidRDefault="0099452B">
            <w:pPr>
              <w:spacing w:before="240" w:after="240"/>
              <w:jc w:val="left"/>
              <w:rPr>
                <w:szCs w:val="24"/>
              </w:rPr>
            </w:pPr>
            <w:r>
              <w:rPr>
                <w:b/>
                <w:bCs/>
                <w:szCs w:val="24"/>
              </w:rPr>
              <w:t>Комитет по наблюдение на ПРСР 2014-2020 (КН) през 2018 г.</w:t>
            </w:r>
          </w:p>
          <w:p w:rsidR="002B3815" w:rsidRDefault="0099452B">
            <w:pPr>
              <w:spacing w:before="240" w:after="240"/>
              <w:jc w:val="left"/>
              <w:rPr>
                <w:szCs w:val="24"/>
              </w:rPr>
            </w:pPr>
            <w:r>
              <w:rPr>
                <w:szCs w:val="24"/>
              </w:rPr>
              <w:t>През 2018 г. са проведени две присъствени заседания на Комитета по наблюдение и три писмени процедури. В рамките на заседан</w:t>
            </w:r>
            <w:r>
              <w:rPr>
                <w:szCs w:val="24"/>
              </w:rPr>
              <w:t>ията са правени задълбочени и детайлни дискусии между представители на отделните сектори и участници в Комитета. С провеждането на заседанията е осигурено спазването на принципа на публичност, партньорство и съгласуваност с браншовите организации.</w:t>
            </w:r>
          </w:p>
          <w:p w:rsidR="002B3815" w:rsidRDefault="0099452B">
            <w:pPr>
              <w:spacing w:before="240" w:after="240"/>
              <w:jc w:val="left"/>
              <w:rPr>
                <w:szCs w:val="24"/>
              </w:rPr>
            </w:pPr>
            <w:r>
              <w:rPr>
                <w:szCs w:val="24"/>
              </w:rPr>
              <w:t>В провед</w:t>
            </w:r>
            <w:r>
              <w:rPr>
                <w:szCs w:val="24"/>
              </w:rPr>
              <w:t>ените заседания са дискутирани въпроси и са взимани решения свързани с компетенциите на Комитета на Програмата, като одобряване на критерии за оценка на проекти, промени в одобрения текст на мерките от ПРСР, подготовка на искания за изменение на ПРСР, обсъ</w:t>
            </w:r>
            <w:r>
              <w:rPr>
                <w:szCs w:val="24"/>
              </w:rPr>
              <w:t>ждания свързани с напредъка по прилагане и други ключови въпроси свързани с ПРСР.</w:t>
            </w:r>
          </w:p>
          <w:p w:rsidR="002B3815" w:rsidRDefault="0099452B">
            <w:pPr>
              <w:spacing w:before="240" w:after="240"/>
              <w:jc w:val="left"/>
              <w:rPr>
                <w:szCs w:val="24"/>
              </w:rPr>
            </w:pPr>
            <w:r>
              <w:rPr>
                <w:szCs w:val="24"/>
              </w:rPr>
              <w:t>Управляващият орган е осигурил достъп до всички материали от заседанията на Комитета по наблюдение, като същите се публикуват на интернет сайта на министерство на земеделието</w:t>
            </w:r>
            <w:r>
              <w:rPr>
                <w:szCs w:val="24"/>
              </w:rPr>
              <w:t xml:space="preserve"> и храните, в специална секция предназначена за ПРСР 2014-2020. По този начин е осигурен обществен достъп до информацията и обсъжданията от проведените заседания.</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 xml:space="preserve">Направените и одобрени предложения в рамките на десетото заседание на КН на ПРСР проведено </w:t>
            </w:r>
            <w:r>
              <w:rPr>
                <w:b/>
                <w:bCs/>
                <w:szCs w:val="24"/>
              </w:rPr>
              <w:t>на 28.02.201 г. са:</w:t>
            </w:r>
          </w:p>
          <w:p w:rsidR="002B3815" w:rsidRDefault="0099452B" w:rsidP="0099452B">
            <w:pPr>
              <w:numPr>
                <w:ilvl w:val="0"/>
                <w:numId w:val="71"/>
              </w:numPr>
              <w:spacing w:before="240" w:after="0"/>
              <w:ind w:hanging="210"/>
              <w:jc w:val="left"/>
              <w:rPr>
                <w:szCs w:val="24"/>
              </w:rPr>
            </w:pPr>
            <w:r>
              <w:rPr>
                <w:szCs w:val="24"/>
              </w:rPr>
              <w:t xml:space="preserve">Предложение на УО на ПРСР (2014-2020) за критерии за подбор на проектни предложения по подмярка </w:t>
            </w:r>
            <w:r>
              <w:rPr>
                <w:i/>
                <w:iCs/>
                <w:szCs w:val="24"/>
              </w:rPr>
              <w:t>16.1 „Подкрепа за сформиране и функциониране на оперативни групи в рамките на ЕПИ“</w:t>
            </w:r>
            <w:r>
              <w:rPr>
                <w:szCs w:val="24"/>
              </w:rPr>
              <w:t xml:space="preserve">  от мярка 16 „Сътрудничество“ от Програмата за развитие </w:t>
            </w:r>
            <w:r>
              <w:rPr>
                <w:szCs w:val="24"/>
              </w:rPr>
              <w:t>на селските райони (2014-2020) е прието с мнозинство.</w:t>
            </w:r>
          </w:p>
          <w:p w:rsidR="002B3815" w:rsidRDefault="0099452B" w:rsidP="0099452B">
            <w:pPr>
              <w:numPr>
                <w:ilvl w:val="0"/>
                <w:numId w:val="71"/>
              </w:numPr>
              <w:spacing w:before="0" w:after="0"/>
              <w:ind w:hanging="210"/>
              <w:jc w:val="left"/>
              <w:rPr>
                <w:szCs w:val="24"/>
              </w:rPr>
            </w:pPr>
            <w:r>
              <w:rPr>
                <w:szCs w:val="24"/>
              </w:rPr>
              <w:t xml:space="preserve">Предложение на УО на ПРСР за критерии за подбор на проектни предложения по подмярка 6.4.1. „Инвестиции в подкрепа на неземеделски дейности от Мярка 6 „Развитие на стопанства и предприятия от ПРСР </w:t>
            </w:r>
            <w:r>
              <w:rPr>
                <w:szCs w:val="24"/>
              </w:rPr>
              <w:t>(2014-2020) е прието с мнозинство.</w:t>
            </w:r>
          </w:p>
          <w:p w:rsidR="002B3815" w:rsidRDefault="0099452B" w:rsidP="0099452B">
            <w:pPr>
              <w:numPr>
                <w:ilvl w:val="0"/>
                <w:numId w:val="71"/>
              </w:numPr>
              <w:spacing w:before="0" w:after="240"/>
              <w:ind w:hanging="210"/>
              <w:jc w:val="left"/>
              <w:rPr>
                <w:szCs w:val="24"/>
              </w:rPr>
            </w:pPr>
            <w:r>
              <w:rPr>
                <w:szCs w:val="24"/>
              </w:rPr>
              <w:t>Предложение на УО на ПРСР (2014-2020) за изваждане на таблицата „Разпределение на общините по процент на лесистост“ от критериите за подбор на проектни предложения по подмярка 8.6 е прието с мнозинство.</w:t>
            </w:r>
          </w:p>
          <w:p w:rsidR="002B3815" w:rsidRDefault="0099452B">
            <w:pPr>
              <w:spacing w:before="240" w:after="240"/>
              <w:jc w:val="left"/>
              <w:rPr>
                <w:szCs w:val="24"/>
              </w:rPr>
            </w:pPr>
            <w:r>
              <w:rPr>
                <w:b/>
                <w:bCs/>
                <w:szCs w:val="24"/>
              </w:rPr>
              <w:t>Направените и одоб</w:t>
            </w:r>
            <w:r>
              <w:rPr>
                <w:b/>
                <w:bCs/>
                <w:szCs w:val="24"/>
              </w:rPr>
              <w:t>рени предложения в рамките на единадесетото заседание на КН на ПРСР проведено на 11.12.2018 г. са:</w:t>
            </w:r>
          </w:p>
          <w:p w:rsidR="002B3815" w:rsidRDefault="0099452B" w:rsidP="0099452B">
            <w:pPr>
              <w:numPr>
                <w:ilvl w:val="0"/>
                <w:numId w:val="72"/>
              </w:numPr>
              <w:spacing w:before="240" w:after="240"/>
              <w:ind w:hanging="210"/>
              <w:jc w:val="left"/>
              <w:rPr>
                <w:szCs w:val="24"/>
              </w:rPr>
            </w:pPr>
            <w:r>
              <w:rPr>
                <w:szCs w:val="24"/>
              </w:rPr>
              <w:t xml:space="preserve">Предложения на Управляващия орган (УО) на ПРСР (2014-2020) за изменение и допълнение на Програмата за развитие на селските райони (2014-2020) са одобрено от </w:t>
            </w:r>
            <w:r>
              <w:rPr>
                <w:szCs w:val="24"/>
              </w:rPr>
              <w:t>КН, както следва:</w:t>
            </w:r>
          </w:p>
          <w:p w:rsidR="002B3815" w:rsidRDefault="0099452B">
            <w:pPr>
              <w:spacing w:before="240" w:after="240"/>
              <w:jc w:val="left"/>
              <w:rPr>
                <w:szCs w:val="24"/>
              </w:rPr>
            </w:pPr>
            <w:r>
              <w:rPr>
                <w:szCs w:val="24"/>
              </w:rPr>
              <w:t>- 3.1.Промени в текста на мярка 1 „Трансфер на знания и действия за осведомяване“;</w:t>
            </w:r>
          </w:p>
          <w:p w:rsidR="002B3815" w:rsidRDefault="0099452B">
            <w:pPr>
              <w:spacing w:before="240" w:after="240"/>
              <w:jc w:val="left"/>
              <w:rPr>
                <w:szCs w:val="24"/>
              </w:rPr>
            </w:pPr>
            <w:r>
              <w:rPr>
                <w:szCs w:val="24"/>
              </w:rPr>
              <w:t xml:space="preserve">- 3.2. Промяна в текста на подмярка 16.1„Подкрепа за сформиране и функциониране на оперативни групи в рамките на ЕПИ за селскостопанска производителност и </w:t>
            </w:r>
            <w:r>
              <w:rPr>
                <w:szCs w:val="24"/>
              </w:rPr>
              <w:t>устойчивост“;</w:t>
            </w:r>
          </w:p>
          <w:p w:rsidR="002B3815" w:rsidRDefault="0099452B">
            <w:pPr>
              <w:spacing w:before="240" w:after="240"/>
              <w:jc w:val="left"/>
              <w:rPr>
                <w:szCs w:val="24"/>
              </w:rPr>
            </w:pPr>
            <w:r>
              <w:rPr>
                <w:szCs w:val="24"/>
              </w:rPr>
              <w:t>- 3.3. Промени в текста на ПРСР, свързани с изготвяне на методика,за определяне на опростени разходи, които ще се прилагат по следните мерки:</w:t>
            </w:r>
          </w:p>
          <w:p w:rsidR="002B3815" w:rsidRDefault="0099452B">
            <w:pPr>
              <w:spacing w:before="240" w:after="240"/>
              <w:jc w:val="left"/>
              <w:rPr>
                <w:szCs w:val="24"/>
              </w:rPr>
            </w:pPr>
            <w:r>
              <w:rPr>
                <w:szCs w:val="24"/>
              </w:rPr>
              <w:t>мярка 19 „Водено от общностите местно развитие“;</w:t>
            </w:r>
          </w:p>
          <w:p w:rsidR="002B3815" w:rsidRDefault="0099452B">
            <w:pPr>
              <w:spacing w:before="240" w:after="240"/>
              <w:jc w:val="left"/>
              <w:rPr>
                <w:szCs w:val="24"/>
              </w:rPr>
            </w:pPr>
            <w:r>
              <w:rPr>
                <w:szCs w:val="24"/>
              </w:rPr>
              <w:t xml:space="preserve">подмярка 1.1 „Професионално обучение и придобиване </w:t>
            </w:r>
            <w:r>
              <w:rPr>
                <w:szCs w:val="24"/>
              </w:rPr>
              <w:t>на умения“;</w:t>
            </w:r>
          </w:p>
          <w:p w:rsidR="002B3815" w:rsidRDefault="0099452B">
            <w:pPr>
              <w:spacing w:before="240" w:after="240"/>
              <w:jc w:val="left"/>
              <w:rPr>
                <w:szCs w:val="24"/>
              </w:rPr>
            </w:pPr>
            <w:r>
              <w:rPr>
                <w:szCs w:val="24"/>
              </w:rPr>
              <w:t>подмярка 16.1. „Подкрепа за сформиране и функциониране на оперативни групи в рамките на ЕПИ“;</w:t>
            </w:r>
          </w:p>
          <w:p w:rsidR="002B3815" w:rsidRDefault="0099452B">
            <w:pPr>
              <w:spacing w:before="240" w:after="240"/>
              <w:jc w:val="left"/>
              <w:rPr>
                <w:szCs w:val="24"/>
              </w:rPr>
            </w:pPr>
            <w:r>
              <w:rPr>
                <w:szCs w:val="24"/>
              </w:rPr>
              <w:t>подмярка 16.4. „Подкрепа за хоризонтално и вертикално сътрудничество между участниците във веригата на доставки“</w:t>
            </w:r>
          </w:p>
          <w:p w:rsidR="002B3815" w:rsidRDefault="0099452B">
            <w:pPr>
              <w:spacing w:before="240" w:after="240"/>
              <w:jc w:val="left"/>
              <w:rPr>
                <w:szCs w:val="24"/>
              </w:rPr>
            </w:pPr>
            <w:r>
              <w:rPr>
                <w:szCs w:val="24"/>
              </w:rPr>
              <w:t>- 3.4.Допълнение на Програмата с вклю</w:t>
            </w:r>
            <w:r>
              <w:rPr>
                <w:szCs w:val="24"/>
              </w:rPr>
              <w:t>чване на текст на подмярка 4.3. „Подкрепа за инвестиции в инфраструктура, свързани с развитие, модернизация или адаптиране на земеделската и горска инфраструктура“;</w:t>
            </w:r>
          </w:p>
          <w:p w:rsidR="002B3815" w:rsidRDefault="0099452B">
            <w:pPr>
              <w:spacing w:before="240" w:after="240"/>
              <w:jc w:val="left"/>
              <w:rPr>
                <w:szCs w:val="24"/>
              </w:rPr>
            </w:pPr>
            <w:r>
              <w:rPr>
                <w:szCs w:val="24"/>
              </w:rPr>
              <w:t>- 3.5. Отразяване на резултати от преразглеждането на размера на подпомагане по мерки 10 „А</w:t>
            </w:r>
            <w:r>
              <w:rPr>
                <w:szCs w:val="24"/>
              </w:rPr>
              <w:t>гроекология и климат“, 11 „Биологично земеделие“, 12 „Плащания по „Натура 2000“ и Рамковата директива за водите“ след анализ и оценка на промяна в практиките по чл. 43 от Регламент 1307/2013;</w:t>
            </w:r>
          </w:p>
          <w:p w:rsidR="002B3815" w:rsidRDefault="0099452B">
            <w:pPr>
              <w:spacing w:before="240" w:after="240"/>
              <w:jc w:val="left"/>
              <w:rPr>
                <w:szCs w:val="24"/>
              </w:rPr>
            </w:pPr>
            <w:r>
              <w:rPr>
                <w:szCs w:val="24"/>
              </w:rPr>
              <w:t>- 3.6. Представяне на използвана методология при предефиниране н</w:t>
            </w:r>
            <w:r>
              <w:rPr>
                <w:szCs w:val="24"/>
              </w:rPr>
              <w:t>а райони с природни ограничения, различни от планинските от мярка 13 „Плащания за райони с природни или други специфични ограничения“;</w:t>
            </w:r>
          </w:p>
          <w:p w:rsidR="002B3815" w:rsidRDefault="0099452B">
            <w:pPr>
              <w:spacing w:before="240" w:after="240"/>
              <w:jc w:val="left"/>
              <w:rPr>
                <w:szCs w:val="24"/>
              </w:rPr>
            </w:pPr>
            <w:r>
              <w:rPr>
                <w:szCs w:val="24"/>
              </w:rPr>
              <w:t>- 3.7. Изменения в текста на мярка 14 „Хуманно отношение към животните“;</w:t>
            </w:r>
          </w:p>
          <w:p w:rsidR="002B3815" w:rsidRDefault="0099452B">
            <w:pPr>
              <w:spacing w:before="240" w:after="240"/>
              <w:jc w:val="left"/>
              <w:rPr>
                <w:szCs w:val="24"/>
              </w:rPr>
            </w:pPr>
            <w:r>
              <w:rPr>
                <w:szCs w:val="24"/>
              </w:rPr>
              <w:t>- 3.8. Уравняване на финансовия план на ПРСР(201</w:t>
            </w:r>
            <w:r>
              <w:rPr>
                <w:szCs w:val="24"/>
              </w:rPr>
              <w:t>4-2020) по фокус - области;</w:t>
            </w:r>
          </w:p>
          <w:p w:rsidR="002B3815" w:rsidRDefault="0099452B">
            <w:pPr>
              <w:spacing w:before="240" w:after="240"/>
              <w:jc w:val="left"/>
              <w:rPr>
                <w:szCs w:val="24"/>
              </w:rPr>
            </w:pPr>
            <w:r>
              <w:rPr>
                <w:szCs w:val="24"/>
              </w:rPr>
              <w:t>- 3.9. Изменение в Глава 11„План на показателите“ от ПРСР (2014-2020),  свързано с фокус област 6Б) „Стимулиране на местното развитие в селските райони“.</w:t>
            </w:r>
          </w:p>
          <w:p w:rsidR="002B3815" w:rsidRDefault="0099452B">
            <w:pPr>
              <w:spacing w:before="240" w:after="240"/>
              <w:jc w:val="left"/>
              <w:rPr>
                <w:szCs w:val="24"/>
              </w:rPr>
            </w:pPr>
            <w:r>
              <w:rPr>
                <w:szCs w:val="24"/>
              </w:rPr>
              <w:t> </w:t>
            </w:r>
          </w:p>
          <w:p w:rsidR="002B3815" w:rsidRDefault="0099452B" w:rsidP="0099452B">
            <w:pPr>
              <w:numPr>
                <w:ilvl w:val="0"/>
                <w:numId w:val="73"/>
              </w:numPr>
              <w:spacing w:before="240" w:after="0"/>
              <w:ind w:hanging="210"/>
              <w:jc w:val="left"/>
              <w:rPr>
                <w:szCs w:val="24"/>
              </w:rPr>
            </w:pPr>
            <w:r>
              <w:rPr>
                <w:szCs w:val="24"/>
              </w:rPr>
              <w:t xml:space="preserve">Предложението на УО за критерии за подбор на проектни предложения по </w:t>
            </w:r>
            <w:r>
              <w:rPr>
                <w:szCs w:val="24"/>
              </w:rPr>
              <w:t>подмярка 1.1 „Професионално обучение и придобиване на умения“ е одобрено от КН.</w:t>
            </w:r>
          </w:p>
          <w:p w:rsidR="002B3815" w:rsidRDefault="0099452B" w:rsidP="0099452B">
            <w:pPr>
              <w:numPr>
                <w:ilvl w:val="0"/>
                <w:numId w:val="73"/>
              </w:numPr>
              <w:spacing w:before="0" w:after="0"/>
              <w:ind w:hanging="210"/>
              <w:jc w:val="left"/>
              <w:rPr>
                <w:szCs w:val="24"/>
              </w:rPr>
            </w:pPr>
            <w:r>
              <w:rPr>
                <w:szCs w:val="24"/>
              </w:rPr>
              <w:t>КН приема Информация за напредъка на ПРСР (2014-2020) – напредък по обработката на заявленията, постигане на междинните цели, докладване нивото на грешки и Текущ отчет за изпъл</w:t>
            </w:r>
            <w:r>
              <w:rPr>
                <w:szCs w:val="24"/>
              </w:rPr>
              <w:t>нението на стратегиите за ВОМР, за сведение.</w:t>
            </w:r>
          </w:p>
          <w:p w:rsidR="002B3815" w:rsidRDefault="0099452B" w:rsidP="0099452B">
            <w:pPr>
              <w:numPr>
                <w:ilvl w:val="0"/>
                <w:numId w:val="73"/>
              </w:numPr>
              <w:spacing w:before="0" w:after="0"/>
              <w:ind w:hanging="210"/>
              <w:jc w:val="left"/>
              <w:rPr>
                <w:szCs w:val="24"/>
              </w:rPr>
            </w:pPr>
            <w:r>
              <w:rPr>
                <w:szCs w:val="24"/>
              </w:rPr>
              <w:t>КН приема Предложение на УО на ПРСР (2014-2020) за разглеждане на Индикативната годишна  работна програма на ПРСР за 2019 г.</w:t>
            </w:r>
          </w:p>
          <w:p w:rsidR="002B3815" w:rsidRDefault="0099452B" w:rsidP="0099452B">
            <w:pPr>
              <w:numPr>
                <w:ilvl w:val="0"/>
                <w:numId w:val="73"/>
              </w:numPr>
              <w:spacing w:before="0" w:after="0"/>
              <w:ind w:hanging="210"/>
              <w:jc w:val="left"/>
              <w:rPr>
                <w:szCs w:val="24"/>
              </w:rPr>
            </w:pPr>
            <w:r>
              <w:rPr>
                <w:szCs w:val="24"/>
              </w:rPr>
              <w:t>КН приема Доклада за предварителната оценка на финансовите инструменти за информация.</w:t>
            </w:r>
          </w:p>
          <w:p w:rsidR="002B3815" w:rsidRDefault="0099452B" w:rsidP="0099452B">
            <w:pPr>
              <w:numPr>
                <w:ilvl w:val="0"/>
                <w:numId w:val="73"/>
              </w:numPr>
              <w:spacing w:before="0" w:after="0"/>
              <w:ind w:hanging="210"/>
              <w:jc w:val="left"/>
              <w:rPr>
                <w:szCs w:val="24"/>
              </w:rPr>
            </w:pPr>
            <w:r>
              <w:rPr>
                <w:szCs w:val="24"/>
              </w:rPr>
              <w:t>КН приема за сведение Доклада на Националната служба за съвети в земеделието.</w:t>
            </w:r>
          </w:p>
          <w:p w:rsidR="002B3815" w:rsidRDefault="0099452B" w:rsidP="0099452B">
            <w:pPr>
              <w:numPr>
                <w:ilvl w:val="0"/>
                <w:numId w:val="73"/>
              </w:numPr>
              <w:spacing w:before="0" w:after="240"/>
              <w:ind w:hanging="210"/>
              <w:jc w:val="left"/>
              <w:rPr>
                <w:szCs w:val="24"/>
              </w:rPr>
            </w:pPr>
            <w:r>
              <w:rPr>
                <w:szCs w:val="24"/>
              </w:rPr>
              <w:t>КН приема за сведение Информация за Националната селска мрежа.</w:t>
            </w:r>
          </w:p>
          <w:p w:rsidR="002B3815" w:rsidRDefault="0099452B">
            <w:pPr>
              <w:spacing w:before="240" w:after="240"/>
              <w:ind w:left="360"/>
              <w:jc w:val="left"/>
              <w:rPr>
                <w:szCs w:val="24"/>
              </w:rPr>
            </w:pPr>
            <w:r>
              <w:rPr>
                <w:szCs w:val="24"/>
              </w:rPr>
              <w:t> </w:t>
            </w:r>
          </w:p>
          <w:p w:rsidR="002B3815" w:rsidRDefault="0099452B">
            <w:pPr>
              <w:spacing w:before="240" w:after="240"/>
              <w:jc w:val="left"/>
              <w:rPr>
                <w:szCs w:val="24"/>
              </w:rPr>
            </w:pPr>
            <w:r>
              <w:rPr>
                <w:szCs w:val="24"/>
              </w:rPr>
              <w:t> </w:t>
            </w:r>
            <w:r>
              <w:rPr>
                <w:b/>
                <w:bCs/>
                <w:szCs w:val="24"/>
              </w:rPr>
              <w:t>Проведени писмени процедури на Комитета за наблюдение на ПРСР 2014-2020 г.</w:t>
            </w:r>
          </w:p>
          <w:p w:rsidR="002B3815" w:rsidRDefault="0099452B">
            <w:pPr>
              <w:spacing w:before="240" w:after="240"/>
              <w:jc w:val="left"/>
              <w:rPr>
                <w:szCs w:val="24"/>
              </w:rPr>
            </w:pPr>
            <w:r>
              <w:rPr>
                <w:szCs w:val="24"/>
              </w:rPr>
              <w:t>В периода 07 - 22.02.2018 г. е провед</w:t>
            </w:r>
            <w:r>
              <w:rPr>
                <w:szCs w:val="24"/>
              </w:rPr>
              <w:t>ена писмена съгласувателна процедура на Комитета за наблюдение на ПРСР 2014-2020 г. за разглеждане и одобрение на Проект на Доклад с последваща оценка (еx-post) на Програмата за развитие на селските райони 2007-2013 г. на база, на която е взето  следното р</w:t>
            </w:r>
            <w:r>
              <w:rPr>
                <w:szCs w:val="24"/>
              </w:rPr>
              <w:t>ешение: Комитетът по наблюдение съгласува текста на Доклада с последваща оценка на Програмата за развитие на селските райони за периода 2007 – 2013 г. и упълномощава Управляващия орган на Програмата да го изпрати официално (по съответния ред) на Европейска</w:t>
            </w:r>
            <w:r>
              <w:rPr>
                <w:szCs w:val="24"/>
              </w:rPr>
              <w:t>та комисия</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В периода 12 - 25.06.2018 г. е проведена писмена съгласувателна процедура на Комитета за наблюдение на ПРСР 2014-2020 за разглеждане и одобрение на Проект на Годишен доклад за изпълнението на ПРСР (2014-2020) за периода 01.01.2017 г. – 31.12.2</w:t>
            </w:r>
            <w:r>
              <w:rPr>
                <w:szCs w:val="24"/>
              </w:rPr>
              <w:t>017 г. на база, на която е взето  следното решение: Комитетът по наблюдение одобрява текста на Годишния доклад за изпълнението на ПРСР (2014-2020) за периода 01.01.2017 г. – 31.12.2017 г. и упълномощава Управляващия орган на Програмата да го изпрати официа</w:t>
            </w:r>
            <w:r>
              <w:rPr>
                <w:szCs w:val="24"/>
              </w:rPr>
              <w:t>лно (по съответния ред) на Европейската комисия.</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В периода 31.08 - 18.09.2018 г.г. е проведена писмена съгласувателна процедура на Комитета за наблюдение на ПРСР 2014-2020 за разглеждане и одобрение на предложението на Управляващия орган на Програмата за</w:t>
            </w:r>
            <w:r>
              <w:rPr>
                <w:szCs w:val="24"/>
              </w:rPr>
              <w:t xml:space="preserve"> развитие на селските райони (2014-2020 г.) за определяне на минималния брой точки по критериите за подбор - 45, под който проектните предложения по подмярка 7.3  „Подпомагане на широколентова инфраструктура, включително нейното създаване, подобрение и раз</w:t>
            </w:r>
            <w:r>
              <w:rPr>
                <w:szCs w:val="24"/>
              </w:rPr>
              <w:t>ширяване, пасивна широколентова инфраструктура и мерки за достъп до решения чрез широколентова инфраструктура и електронно правителство“ от ПРСР (2014 – 2020 г.), няма да бъдат подпомагани, на база, на която е взето  следното решение: Комитетът по наблюден</w:t>
            </w:r>
            <w:r>
              <w:rPr>
                <w:szCs w:val="24"/>
              </w:rPr>
              <w:t>ие на ПРСР 2014-2020 г. съгласува и одобрява чрез писмена процедура предложенията на Управляващия орган на ПРСР 2014-2020 г. за определяне на минимален брой точки по подмярка 7.3, както следва:</w:t>
            </w:r>
          </w:p>
          <w:p w:rsidR="002B3815" w:rsidRDefault="0099452B">
            <w:pPr>
              <w:spacing w:before="240" w:after="240"/>
              <w:jc w:val="left"/>
              <w:rPr>
                <w:szCs w:val="24"/>
              </w:rPr>
            </w:pPr>
            <w:r>
              <w:rPr>
                <w:szCs w:val="24"/>
              </w:rPr>
              <w:t xml:space="preserve">За подмярка 7.3 „Подпомагане на широколентова инфраструктура, </w:t>
            </w:r>
            <w:r>
              <w:rPr>
                <w:szCs w:val="24"/>
              </w:rPr>
              <w:t>включително нейното създаване, подобрение и разширяване“ – минимален брой точки по критериите за подбор, под който проектните предложения по подмярката няма да бъдат подпомагани да бъде 45 точки.</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b/>
                <w:bCs/>
                <w:szCs w:val="24"/>
              </w:rPr>
              <w:t>Изменения на ПРСР 2014-2020 през 2018 г.</w:t>
            </w:r>
          </w:p>
          <w:p w:rsidR="002B3815" w:rsidRDefault="0099452B">
            <w:pPr>
              <w:spacing w:before="240" w:after="240"/>
              <w:jc w:val="left"/>
              <w:rPr>
                <w:szCs w:val="24"/>
              </w:rPr>
            </w:pPr>
            <w:r>
              <w:rPr>
                <w:szCs w:val="24"/>
              </w:rPr>
              <w:t xml:space="preserve">На 18.05.2018 г. </w:t>
            </w:r>
            <w:r>
              <w:rPr>
                <w:szCs w:val="24"/>
              </w:rPr>
              <w:t>четвъртото изменение на ПРСР 2014-2020 г. е одобрено от ЕК.</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 </w:t>
            </w:r>
          </w:p>
          <w:p w:rsidR="002B3815" w:rsidRDefault="002B3815">
            <w:pPr>
              <w:pStyle w:val="BodyText"/>
            </w:pPr>
          </w:p>
        </w:tc>
      </w:tr>
    </w:tbl>
    <w:p w:rsidR="002B3815" w:rsidRDefault="0099452B">
      <w:pPr>
        <w:pStyle w:val="Heading2"/>
      </w:pPr>
      <w:bookmarkStart w:id="59" w:name="_Toc256000182"/>
      <w:bookmarkStart w:id="60" w:name="_Toc256000100"/>
      <w:bookmarkStart w:id="61" w:name="_Toc256000018"/>
      <w:r>
        <w:t>Качество и ефикасност на механизмите за изпълнение</w:t>
      </w:r>
      <w:bookmarkEnd w:id="59"/>
      <w:bookmarkEnd w:id="60"/>
      <w:bookmarkEnd w:id="61"/>
    </w:p>
    <w:p w:rsidR="002B3815" w:rsidRDefault="0099452B">
      <w:r>
        <w:rPr>
          <w:szCs w:val="24"/>
        </w:rPr>
        <w:t xml:space="preserve">Опростени варианти за разходите (ОВР) </w:t>
      </w:r>
      <w:r>
        <w:rPr>
          <w:sz w:val="30"/>
          <w:szCs w:val="30"/>
          <w:vertAlign w:val="superscript"/>
        </w:rPr>
        <w:t>1</w:t>
      </w:r>
      <w:r>
        <w:rPr>
          <w:szCs w:val="24"/>
        </w:rPr>
        <w:t>, косвен показател, изчислен автоматично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2642"/>
        <w:gridCol w:w="2642"/>
        <w:gridCol w:w="2642"/>
      </w:tblGrid>
      <w:tr w:rsidR="002B3815">
        <w:tc>
          <w:tcPr>
            <w:tcW w:w="750" w:type="pct"/>
            <w:shd w:val="clear" w:color="auto" w:fill="C0C0C0"/>
            <w:tcMar>
              <w:top w:w="20" w:type="dxa"/>
              <w:left w:w="20" w:type="dxa"/>
              <w:bottom w:w="20" w:type="dxa"/>
            </w:tcMar>
            <w:vAlign w:val="center"/>
          </w:tcPr>
          <w:p w:rsidR="002B3815" w:rsidRDefault="0099452B">
            <w:pPr>
              <w:jc w:val="center"/>
              <w:rPr>
                <w:sz w:val="16"/>
              </w:rPr>
            </w:pPr>
            <w:r>
              <w:rPr>
                <w:szCs w:val="24"/>
              </w:rPr>
              <w:t>            </w:t>
            </w:r>
          </w:p>
        </w:tc>
        <w:tc>
          <w:tcPr>
            <w:tcW w:w="750" w:type="pct"/>
            <w:shd w:val="clear" w:color="auto" w:fill="C0C0C0"/>
            <w:tcMar>
              <w:top w:w="20" w:type="dxa"/>
              <w:left w:w="20" w:type="dxa"/>
              <w:bottom w:w="20" w:type="dxa"/>
            </w:tcMar>
            <w:vAlign w:val="center"/>
          </w:tcPr>
          <w:p w:rsidR="002B3815" w:rsidRDefault="0099452B">
            <w:pPr>
              <w:jc w:val="center"/>
              <w:rPr>
                <w:sz w:val="16"/>
              </w:rPr>
            </w:pPr>
            <w:r>
              <w:rPr>
                <w:sz w:val="16"/>
              </w:rPr>
              <w:t xml:space="preserve">ООбщ размер на финансовите средства, </w:t>
            </w:r>
            <w:r>
              <w:rPr>
                <w:sz w:val="16"/>
              </w:rPr>
              <w:t>отпуснати по ПРСР [ЕЗФРСР]</w:t>
            </w:r>
          </w:p>
        </w:tc>
        <w:tc>
          <w:tcPr>
            <w:tcW w:w="750" w:type="pct"/>
            <w:shd w:val="clear" w:color="auto" w:fill="C0C0C0"/>
            <w:tcMar>
              <w:top w:w="20" w:type="dxa"/>
              <w:left w:w="20" w:type="dxa"/>
              <w:bottom w:w="20" w:type="dxa"/>
            </w:tcMar>
            <w:vAlign w:val="center"/>
          </w:tcPr>
          <w:p w:rsidR="002B3815" w:rsidRDefault="0099452B">
            <w:pPr>
              <w:jc w:val="center"/>
              <w:rPr>
                <w:sz w:val="16"/>
              </w:rPr>
            </w:pPr>
            <w:r>
              <w:rPr>
                <w:sz w:val="17"/>
                <w:szCs w:val="17"/>
              </w:rPr>
              <w:t>[%] на планираното покритие на ОВР от общите отпуснати средства за ПРСР</w:t>
            </w:r>
            <w:r>
              <w:rPr>
                <w:sz w:val="21"/>
                <w:szCs w:val="21"/>
                <w:vertAlign w:val="superscript"/>
              </w:rPr>
              <w:t>2</w:t>
            </w:r>
          </w:p>
        </w:tc>
        <w:tc>
          <w:tcPr>
            <w:tcW w:w="750" w:type="pct"/>
            <w:shd w:val="clear" w:color="auto" w:fill="C0C0C0"/>
            <w:tcMar>
              <w:top w:w="20" w:type="dxa"/>
              <w:left w:w="20" w:type="dxa"/>
              <w:bottom w:w="20" w:type="dxa"/>
            </w:tcMar>
            <w:vAlign w:val="center"/>
          </w:tcPr>
          <w:p w:rsidR="002B3815" w:rsidRDefault="0099452B">
            <w:pPr>
              <w:jc w:val="center"/>
              <w:rPr>
                <w:sz w:val="16"/>
              </w:rPr>
            </w:pPr>
            <w:r>
              <w:rPr>
                <w:sz w:val="17"/>
                <w:szCs w:val="17"/>
              </w:rPr>
              <w:t>[%] на реализираните разходи посредством ОВР от общите отпуснати средства за ПРСР (кумулативни данни)</w:t>
            </w:r>
            <w:r>
              <w:rPr>
                <w:sz w:val="21"/>
                <w:szCs w:val="21"/>
                <w:vertAlign w:val="superscript"/>
              </w:rPr>
              <w:t>3</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Специфични за фондовете методи, член 67, параграф 5,</w:t>
            </w:r>
            <w:r>
              <w:rPr>
                <w:sz w:val="16"/>
              </w:rPr>
              <w:t xml:space="preserve"> буква д) от РОР</w:t>
            </w:r>
          </w:p>
        </w:tc>
        <w:tc>
          <w:tcPr>
            <w:tcW w:w="1250" w:type="pct"/>
            <w:shd w:val="clear" w:color="auto" w:fill="FFFFFF"/>
            <w:tcMar>
              <w:top w:w="20" w:type="dxa"/>
              <w:left w:w="20" w:type="dxa"/>
              <w:bottom w:w="20" w:type="dxa"/>
            </w:tcMar>
            <w:vAlign w:val="center"/>
          </w:tcPr>
          <w:p w:rsidR="002B3815" w:rsidRDefault="0099452B">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2B3815" w:rsidRDefault="0099452B">
            <w:pPr>
              <w:spacing w:before="20" w:after="20"/>
              <w:jc w:val="right"/>
              <w:rPr>
                <w:sz w:val="16"/>
              </w:rPr>
            </w:pPr>
            <w:r>
              <w:rPr>
                <w:sz w:val="16"/>
              </w:rPr>
              <w:t>37,54</w:t>
            </w:r>
          </w:p>
        </w:tc>
        <w:tc>
          <w:tcPr>
            <w:tcW w:w="1250" w:type="pct"/>
            <w:shd w:val="clear" w:color="auto" w:fill="FFFFFF"/>
            <w:tcMar>
              <w:top w:w="20" w:type="dxa"/>
              <w:left w:w="20" w:type="dxa"/>
              <w:bottom w:w="20" w:type="dxa"/>
            </w:tcMar>
            <w:vAlign w:val="center"/>
          </w:tcPr>
          <w:p w:rsidR="002B3815" w:rsidRDefault="0099452B">
            <w:pPr>
              <w:spacing w:before="20" w:after="20"/>
              <w:jc w:val="right"/>
              <w:rPr>
                <w:sz w:val="16"/>
              </w:rPr>
            </w:pPr>
            <w:r>
              <w:rPr>
                <w:sz w:val="16"/>
              </w:rPr>
              <w:t>15,80</w:t>
            </w:r>
          </w:p>
        </w:tc>
      </w:tr>
    </w:tbl>
    <w:p w:rsidR="002B3815" w:rsidRDefault="0099452B">
      <w:r>
        <w:rPr>
          <w:sz w:val="21"/>
          <w:szCs w:val="21"/>
          <w:vertAlign w:val="superscript"/>
        </w:rPr>
        <w:t>1</w:t>
      </w:r>
      <w:r>
        <w:rPr>
          <w:sz w:val="17"/>
          <w:szCs w:val="17"/>
        </w:rPr>
        <w:t xml:space="preserve"> Опростените варианти за разходите представляват единични разходи/единни ставки/еднократни суми по член 67, параграф 5 от РОР, включително специфичните методи за ЕЗФРСР, предвидени в буква д) от същия член, като например еднократните суми за започване на д</w:t>
      </w:r>
      <w:r>
        <w:rPr>
          <w:sz w:val="17"/>
          <w:szCs w:val="17"/>
        </w:rPr>
        <w:t>ейност, плащанията с единни ставки към организации на производители и единични разходи, свързани с площта и животните.</w:t>
      </w:r>
    </w:p>
    <w:p w:rsidR="002B3815" w:rsidRDefault="0099452B">
      <w:r>
        <w:rPr>
          <w:sz w:val="21"/>
          <w:szCs w:val="21"/>
          <w:vertAlign w:val="superscript"/>
        </w:rPr>
        <w:t>2</w:t>
      </w:r>
      <w:r>
        <w:rPr>
          <w:sz w:val="17"/>
          <w:szCs w:val="17"/>
        </w:rPr>
        <w:t xml:space="preserve"> Автоматично изчислени от мерки 06, 09, 10, 11, 12, 13, 14, 15, 18 на версията на програмата</w:t>
      </w:r>
    </w:p>
    <w:p w:rsidR="002B3815" w:rsidRDefault="0099452B">
      <w:r>
        <w:rPr>
          <w:sz w:val="21"/>
          <w:szCs w:val="21"/>
          <w:vertAlign w:val="superscript"/>
        </w:rPr>
        <w:t>3</w:t>
      </w:r>
      <w:r>
        <w:rPr>
          <w:sz w:val="17"/>
          <w:szCs w:val="17"/>
        </w:rPr>
        <w:t xml:space="preserve"> Автоматично изчислен от декларациите за р</w:t>
      </w:r>
      <w:r>
        <w:rPr>
          <w:sz w:val="17"/>
          <w:szCs w:val="17"/>
        </w:rPr>
        <w:t>азходи по мерки 106, 09, 10, 11, 12, 13, 14, 15, 18</w:t>
      </w:r>
    </w:p>
    <w:p w:rsidR="002B3815" w:rsidRDefault="0099452B">
      <w:r>
        <w:rPr>
          <w:szCs w:val="24"/>
        </w:rPr>
        <w:t>Опростени варианти за разходите (ОВР), въз основа на специфични подробни данни от държавите членки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2642"/>
        <w:gridCol w:w="2642"/>
        <w:gridCol w:w="2642"/>
      </w:tblGrid>
      <w:tr w:rsidR="002B3815">
        <w:tc>
          <w:tcPr>
            <w:tcW w:w="1250" w:type="pct"/>
            <w:shd w:val="clear" w:color="auto" w:fill="C0C0C0"/>
            <w:tcMar>
              <w:top w:w="20" w:type="dxa"/>
              <w:left w:w="20" w:type="dxa"/>
              <w:bottom w:w="20" w:type="dxa"/>
            </w:tcMar>
            <w:vAlign w:val="center"/>
          </w:tcPr>
          <w:p w:rsidR="002B3815" w:rsidRDefault="0099452B">
            <w:pPr>
              <w:jc w:val="center"/>
              <w:rPr>
                <w:sz w:val="16"/>
              </w:rPr>
            </w:pPr>
            <w:r>
              <w:rPr>
                <w:szCs w:val="24"/>
              </w:rPr>
              <w:t>            </w:t>
            </w:r>
          </w:p>
        </w:tc>
        <w:tc>
          <w:tcPr>
            <w:tcW w:w="1250" w:type="pct"/>
            <w:shd w:val="clear" w:color="auto" w:fill="C0C0C0"/>
            <w:tcMar>
              <w:top w:w="20" w:type="dxa"/>
              <w:left w:w="20" w:type="dxa"/>
              <w:bottom w:w="20" w:type="dxa"/>
            </w:tcMar>
            <w:vAlign w:val="center"/>
          </w:tcPr>
          <w:p w:rsidR="002B3815" w:rsidRDefault="0099452B">
            <w:pPr>
              <w:jc w:val="center"/>
              <w:rPr>
                <w:sz w:val="16"/>
              </w:rPr>
            </w:pPr>
            <w:r>
              <w:rPr>
                <w:sz w:val="16"/>
              </w:rPr>
              <w:t>ООбщ размер на финансовите средства, отпуснати по ПРСР [ЕЗФРСР]</w:t>
            </w:r>
          </w:p>
        </w:tc>
        <w:tc>
          <w:tcPr>
            <w:tcW w:w="1250" w:type="pct"/>
            <w:shd w:val="clear" w:color="auto" w:fill="C0C0C0"/>
            <w:tcMar>
              <w:top w:w="20" w:type="dxa"/>
              <w:left w:w="20" w:type="dxa"/>
              <w:bottom w:w="20" w:type="dxa"/>
            </w:tcMar>
            <w:vAlign w:val="center"/>
          </w:tcPr>
          <w:p w:rsidR="002B3815" w:rsidRDefault="0099452B">
            <w:pPr>
              <w:jc w:val="center"/>
              <w:rPr>
                <w:sz w:val="16"/>
              </w:rPr>
            </w:pPr>
            <w:r>
              <w:rPr>
                <w:sz w:val="17"/>
                <w:szCs w:val="17"/>
              </w:rPr>
              <w:t>[%] на план</w:t>
            </w:r>
            <w:r>
              <w:rPr>
                <w:sz w:val="17"/>
                <w:szCs w:val="17"/>
              </w:rPr>
              <w:t>ираното покритие на ОВР от общите отпуснати средства за ПРСР</w:t>
            </w:r>
          </w:p>
        </w:tc>
        <w:tc>
          <w:tcPr>
            <w:tcW w:w="1250" w:type="pct"/>
            <w:shd w:val="clear" w:color="auto" w:fill="C0C0C0"/>
            <w:tcMar>
              <w:top w:w="20" w:type="dxa"/>
              <w:left w:w="20" w:type="dxa"/>
              <w:bottom w:w="20" w:type="dxa"/>
            </w:tcMar>
            <w:vAlign w:val="center"/>
          </w:tcPr>
          <w:p w:rsidR="002B3815" w:rsidRDefault="0099452B">
            <w:pPr>
              <w:jc w:val="center"/>
              <w:rPr>
                <w:sz w:val="16"/>
              </w:rPr>
            </w:pPr>
            <w:r>
              <w:rPr>
                <w:sz w:val="17"/>
                <w:szCs w:val="17"/>
              </w:rPr>
              <w:t>[%] на реализираните разходи посредством ОВР от общите отпуснати средства за ПРСР (кумулативни данни)</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Общо по силата на член 67, параграф 1, буква б), в) и г) + член 67, параграф 5, буква д) от </w:t>
            </w:r>
            <w:r>
              <w:rPr>
                <w:sz w:val="16"/>
              </w:rPr>
              <w:t>РОР</w:t>
            </w:r>
          </w:p>
        </w:tc>
        <w:tc>
          <w:tcPr>
            <w:tcW w:w="1250" w:type="pct"/>
            <w:shd w:val="clear" w:color="auto" w:fill="FFFFFF"/>
            <w:tcMar>
              <w:top w:w="20" w:type="dxa"/>
              <w:left w:w="20" w:type="dxa"/>
              <w:bottom w:w="20" w:type="dxa"/>
            </w:tcMar>
            <w:vAlign w:val="center"/>
          </w:tcPr>
          <w:p w:rsidR="002B3815" w:rsidRDefault="0099452B">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Специфични за фондовете методи, член 67, параграф 5, буква д) от РОР</w:t>
            </w:r>
          </w:p>
        </w:tc>
        <w:tc>
          <w:tcPr>
            <w:tcW w:w="1250" w:type="pct"/>
            <w:shd w:val="clear" w:color="auto" w:fill="FFFFFF"/>
            <w:tcMar>
              <w:top w:w="20" w:type="dxa"/>
              <w:left w:w="20" w:type="dxa"/>
              <w:bottom w:w="20" w:type="dxa"/>
            </w:tcMar>
            <w:vAlign w:val="center"/>
          </w:tcPr>
          <w:p w:rsidR="002B3815" w:rsidRDefault="0099452B">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r>
    </w:tbl>
    <w:p w:rsidR="002B3815" w:rsidRDefault="0099452B">
      <w:r>
        <w:t>Електронно управление за бенефициерите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2B3815">
        <w:tc>
          <w:tcPr>
            <w:tcW w:w="1250" w:type="pct"/>
            <w:shd w:val="clear" w:color="auto" w:fill="C0C0C0"/>
            <w:tcMar>
              <w:top w:w="20" w:type="dxa"/>
              <w:left w:w="20" w:type="dxa"/>
              <w:bottom w:w="20" w:type="dxa"/>
            </w:tcMar>
            <w:vAlign w:val="center"/>
          </w:tcPr>
          <w:p w:rsidR="002B3815" w:rsidRDefault="0099452B">
            <w:pPr>
              <w:jc w:val="center"/>
              <w:rPr>
                <w:sz w:val="16"/>
              </w:rPr>
            </w:pPr>
            <w:r>
              <w:rPr>
                <w:szCs w:val="24"/>
              </w:rPr>
              <w:t>            </w:t>
            </w:r>
          </w:p>
        </w:tc>
        <w:tc>
          <w:tcPr>
            <w:tcW w:w="1250" w:type="pct"/>
            <w:shd w:val="clear" w:color="auto" w:fill="C0C0C0"/>
            <w:tcMar>
              <w:top w:w="20" w:type="dxa"/>
              <w:left w:w="20" w:type="dxa"/>
              <w:bottom w:w="20" w:type="dxa"/>
            </w:tcMar>
            <w:vAlign w:val="center"/>
          </w:tcPr>
          <w:p w:rsidR="002B3815" w:rsidRDefault="0099452B">
            <w:pPr>
              <w:jc w:val="center"/>
              <w:rPr>
                <w:sz w:val="16"/>
              </w:rPr>
            </w:pPr>
            <w:r>
              <w:rPr>
                <w:sz w:val="16"/>
              </w:rPr>
              <w:t>[%] Финансиране от ЕЗФРСР</w:t>
            </w:r>
          </w:p>
        </w:tc>
        <w:tc>
          <w:tcPr>
            <w:tcW w:w="1250" w:type="pct"/>
            <w:shd w:val="clear" w:color="auto" w:fill="C0C0C0"/>
            <w:tcMar>
              <w:top w:w="20" w:type="dxa"/>
              <w:left w:w="20" w:type="dxa"/>
              <w:bottom w:w="20" w:type="dxa"/>
            </w:tcMar>
            <w:vAlign w:val="center"/>
          </w:tcPr>
          <w:p w:rsidR="002B3815" w:rsidRDefault="0099452B">
            <w:pPr>
              <w:jc w:val="center"/>
              <w:rPr>
                <w:sz w:val="16"/>
              </w:rPr>
            </w:pPr>
            <w:r>
              <w:rPr>
                <w:sz w:val="16"/>
              </w:rPr>
              <w:t xml:space="preserve">[%] Съответни операции </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Заявление за </w:t>
            </w:r>
            <w:r>
              <w:rPr>
                <w:sz w:val="16"/>
              </w:rPr>
              <w:t>подпомагане</w:t>
            </w: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Искания за плащане</w:t>
            </w: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Контрол и съответствие</w:t>
            </w:r>
          </w:p>
        </w:tc>
        <w:tc>
          <w:tcPr>
            <w:tcW w:w="1250" w:type="pct"/>
            <w:shd w:val="clear" w:color="auto" w:fill="808080"/>
            <w:tcMar>
              <w:top w:w="20" w:type="dxa"/>
              <w:left w:w="20" w:type="dxa"/>
              <w:bottom w:w="20" w:type="dxa"/>
            </w:tcMar>
            <w:vAlign w:val="center"/>
          </w:tcPr>
          <w:p w:rsidR="002B3815" w:rsidRDefault="002B3815">
            <w:pPr>
              <w:spacing w:before="20" w:after="20"/>
              <w:jc w:val="left"/>
              <w:rPr>
                <w:sz w:val="16"/>
              </w:rPr>
            </w:pP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 Мониторинг и докладване на управителния орган/разплащателната агенция</w:t>
            </w:r>
          </w:p>
        </w:tc>
        <w:tc>
          <w:tcPr>
            <w:tcW w:w="1250" w:type="pct"/>
            <w:shd w:val="clear" w:color="auto" w:fill="808080"/>
            <w:tcMar>
              <w:top w:w="20" w:type="dxa"/>
              <w:left w:w="20" w:type="dxa"/>
              <w:bottom w:w="20" w:type="dxa"/>
            </w:tcMar>
            <w:vAlign w:val="center"/>
          </w:tcPr>
          <w:p w:rsidR="002B3815" w:rsidRDefault="002B3815">
            <w:pPr>
              <w:spacing w:before="20" w:after="20"/>
              <w:jc w:val="left"/>
              <w:rPr>
                <w:sz w:val="16"/>
              </w:rPr>
            </w:pPr>
          </w:p>
        </w:tc>
        <w:tc>
          <w:tcPr>
            <w:tcW w:w="1250" w:type="pct"/>
            <w:shd w:val="clear" w:color="auto" w:fill="FFFFFF"/>
            <w:tcMar>
              <w:top w:w="20" w:type="dxa"/>
              <w:left w:w="20" w:type="dxa"/>
              <w:bottom w:w="20" w:type="dxa"/>
            </w:tcMar>
            <w:vAlign w:val="center"/>
          </w:tcPr>
          <w:p w:rsidR="002B3815" w:rsidRDefault="002B3815">
            <w:pPr>
              <w:spacing w:before="20" w:after="20"/>
              <w:jc w:val="left"/>
              <w:rPr>
                <w:sz w:val="16"/>
              </w:rPr>
            </w:pPr>
          </w:p>
        </w:tc>
      </w:tr>
    </w:tbl>
    <w:p w:rsidR="002B3815" w:rsidRDefault="0099452B">
      <w:r>
        <w:t>Среден срок за бенефициерите за получаване на плащания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3"/>
        <w:gridCol w:w="2114"/>
        <w:gridCol w:w="6341"/>
      </w:tblGrid>
      <w:tr w:rsidR="002B3815">
        <w:tc>
          <w:tcPr>
            <w:tcW w:w="1000" w:type="pct"/>
            <w:shd w:val="clear" w:color="auto" w:fill="C0C0C0"/>
            <w:tcMar>
              <w:top w:w="20" w:type="dxa"/>
              <w:left w:w="20" w:type="dxa"/>
              <w:bottom w:w="20" w:type="dxa"/>
            </w:tcMar>
            <w:vAlign w:val="center"/>
          </w:tcPr>
          <w:p w:rsidR="002B3815" w:rsidRDefault="0099452B">
            <w:pPr>
              <w:jc w:val="center"/>
              <w:rPr>
                <w:sz w:val="16"/>
              </w:rPr>
            </w:pPr>
            <w:r>
              <w:rPr>
                <w:sz w:val="17"/>
                <w:szCs w:val="17"/>
              </w:rPr>
              <w:t>[дни]</w:t>
            </w:r>
            <w:r>
              <w:rPr>
                <w:sz w:val="17"/>
                <w:szCs w:val="17"/>
              </w:rPr>
              <w:br/>
              <w:t xml:space="preserve">Когато е приложимо, крайният срок на </w:t>
            </w:r>
            <w:r>
              <w:rPr>
                <w:sz w:val="17"/>
                <w:szCs w:val="17"/>
              </w:rPr>
              <w:t>държавата членка за плащания към бенефициерите</w:t>
            </w:r>
          </w:p>
        </w:tc>
        <w:tc>
          <w:tcPr>
            <w:tcW w:w="1000" w:type="pct"/>
            <w:shd w:val="clear" w:color="auto" w:fill="C0C0C0"/>
            <w:tcMar>
              <w:top w:w="20" w:type="dxa"/>
              <w:left w:w="20" w:type="dxa"/>
              <w:bottom w:w="20" w:type="dxa"/>
            </w:tcMar>
            <w:vAlign w:val="center"/>
          </w:tcPr>
          <w:p w:rsidR="002B3815" w:rsidRDefault="0099452B">
            <w:pPr>
              <w:jc w:val="center"/>
              <w:rPr>
                <w:sz w:val="16"/>
              </w:rPr>
            </w:pPr>
            <w:r>
              <w:rPr>
                <w:sz w:val="17"/>
                <w:szCs w:val="17"/>
              </w:rPr>
              <w:t>[Дни]</w:t>
            </w:r>
            <w:r>
              <w:rPr>
                <w:sz w:val="17"/>
                <w:szCs w:val="17"/>
              </w:rPr>
              <w:br/>
              <w:t>Среден срок на плащанията към бенефициерите</w:t>
            </w:r>
          </w:p>
        </w:tc>
        <w:tc>
          <w:tcPr>
            <w:tcW w:w="3000" w:type="pct"/>
            <w:shd w:val="clear" w:color="auto" w:fill="C0C0C0"/>
            <w:tcMar>
              <w:top w:w="20" w:type="dxa"/>
              <w:left w:w="20" w:type="dxa"/>
              <w:bottom w:w="20" w:type="dxa"/>
            </w:tcMar>
            <w:vAlign w:val="center"/>
          </w:tcPr>
          <w:p w:rsidR="002B3815" w:rsidRDefault="0099452B">
            <w:pPr>
              <w:jc w:val="center"/>
              <w:rPr>
                <w:sz w:val="16"/>
              </w:rPr>
            </w:pPr>
            <w:r>
              <w:rPr>
                <w:sz w:val="16"/>
              </w:rPr>
              <w:t>Коментари</w:t>
            </w:r>
          </w:p>
        </w:tc>
      </w:tr>
      <w:tr w:rsidR="002B3815">
        <w:tc>
          <w:tcPr>
            <w:tcW w:w="1000" w:type="pct"/>
            <w:shd w:val="clear" w:color="auto" w:fill="FFFFFF"/>
            <w:tcMar>
              <w:top w:w="20" w:type="dxa"/>
              <w:left w:w="20" w:type="dxa"/>
              <w:bottom w:w="20" w:type="dxa"/>
            </w:tcMar>
            <w:vAlign w:val="center"/>
          </w:tcPr>
          <w:p w:rsidR="002B3815" w:rsidRDefault="002B3815">
            <w:pPr>
              <w:spacing w:before="20" w:after="20"/>
              <w:jc w:val="left"/>
              <w:rPr>
                <w:sz w:val="16"/>
              </w:rPr>
            </w:pPr>
          </w:p>
        </w:tc>
        <w:tc>
          <w:tcPr>
            <w:tcW w:w="1000" w:type="pct"/>
            <w:shd w:val="clear" w:color="auto" w:fill="FFFFFF"/>
            <w:tcMar>
              <w:top w:w="20" w:type="dxa"/>
              <w:left w:w="20" w:type="dxa"/>
              <w:bottom w:w="20" w:type="dxa"/>
            </w:tcMar>
            <w:vAlign w:val="center"/>
          </w:tcPr>
          <w:p w:rsidR="002B3815" w:rsidRDefault="002B3815">
            <w:pPr>
              <w:spacing w:before="20" w:after="20"/>
              <w:jc w:val="left"/>
              <w:rPr>
                <w:sz w:val="16"/>
              </w:rPr>
            </w:pPr>
          </w:p>
        </w:tc>
        <w:tc>
          <w:tcPr>
            <w:tcW w:w="3000" w:type="pct"/>
            <w:shd w:val="clear" w:color="auto" w:fill="FFFFFF"/>
            <w:tcMar>
              <w:top w:w="20" w:type="dxa"/>
              <w:left w:w="20" w:type="dxa"/>
              <w:bottom w:w="20" w:type="dxa"/>
            </w:tcMar>
            <w:vAlign w:val="center"/>
          </w:tcPr>
          <w:p w:rsidR="002B3815" w:rsidRDefault="002B3815">
            <w:pPr>
              <w:spacing w:before="20" w:after="20"/>
              <w:jc w:val="left"/>
              <w:rPr>
                <w:sz w:val="16"/>
              </w:rPr>
            </w:pPr>
          </w:p>
        </w:tc>
      </w:tr>
    </w:tbl>
    <w:p w:rsidR="002B3815" w:rsidRDefault="002B3815">
      <w:pPr>
        <w:jc w:val="center"/>
        <w:rPr>
          <w:sz w:val="16"/>
        </w:rPr>
        <w:sectPr w:rsidR="002B3815">
          <w:pgSz w:w="12240" w:h="15840"/>
          <w:pgMar w:top="900" w:right="900" w:bottom="900" w:left="900" w:header="720" w:footer="720" w:gutter="0"/>
          <w:cols w:space="720"/>
        </w:sectPr>
      </w:pPr>
    </w:p>
    <w:p w:rsidR="002B3815" w:rsidRDefault="0099452B">
      <w:pPr>
        <w:pStyle w:val="Heading1"/>
      </w:pPr>
      <w:bookmarkStart w:id="62" w:name="_Toc256000183"/>
      <w:bookmarkStart w:id="63" w:name="_Toc256000101"/>
      <w:bookmarkStart w:id="64" w:name="_Toc256000019"/>
      <w:r>
        <w:t>Стъпки, предприети за прилагане на техническата помощ и изискванията за публичност на програмите</w:t>
      </w:r>
      <w:bookmarkEnd w:id="62"/>
      <w:bookmarkEnd w:id="63"/>
      <w:bookmarkEnd w:id="64"/>
    </w:p>
    <w:p w:rsidR="002B3815" w:rsidRDefault="0099452B">
      <w:pPr>
        <w:pStyle w:val="Heading2"/>
      </w:pPr>
      <w:bookmarkStart w:id="65" w:name="_Toc256000184"/>
      <w:bookmarkStart w:id="66" w:name="_Toc256000102"/>
      <w:bookmarkStart w:id="67" w:name="_Toc256000020"/>
      <w:r>
        <w:t xml:space="preserve">Предприети действия и актуално </w:t>
      </w:r>
      <w:r>
        <w:t>състояние по отношение на създаването на НМСР и изпълнението на нейния план за действие</w:t>
      </w:r>
      <w:bookmarkEnd w:id="65"/>
      <w:bookmarkEnd w:id="66"/>
      <w:bookmarkEnd w:id="67"/>
    </w:p>
    <w:p w:rsidR="002B3815" w:rsidRDefault="0099452B">
      <w:pPr>
        <w:pStyle w:val="Heading3"/>
        <w:jc w:val="left"/>
      </w:pPr>
      <w:bookmarkStart w:id="68" w:name="_Toc256000185"/>
      <w:bookmarkStart w:id="69" w:name="_Toc256000103"/>
      <w:bookmarkStart w:id="70" w:name="_Toc256000021"/>
      <w:r>
        <w:t>Предприети действия и актуално състояние по отношение на създаването на НМСР (структура на управление и звено за подкрепа на мрежата)</w:t>
      </w:r>
      <w:bookmarkEnd w:id="68"/>
      <w:bookmarkEnd w:id="69"/>
      <w:bookmarkEnd w:id="7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Към 31.12.2018 г. е налице сключен</w:t>
            </w:r>
            <w:r>
              <w:rPr>
                <w:szCs w:val="24"/>
              </w:rPr>
              <w:t xml:space="preserve"> договор за избор на изпълнител за изграждане на НСМ.</w:t>
            </w:r>
          </w:p>
          <w:p w:rsidR="002B3815" w:rsidRDefault="002B3815">
            <w:pPr>
              <w:pStyle w:val="BodyText"/>
            </w:pPr>
          </w:p>
        </w:tc>
      </w:tr>
    </w:tbl>
    <w:p w:rsidR="002B3815" w:rsidRDefault="0099452B">
      <w:pPr>
        <w:pStyle w:val="Heading3"/>
        <w:jc w:val="left"/>
      </w:pPr>
      <w:bookmarkStart w:id="71" w:name="_Toc256000186"/>
      <w:bookmarkStart w:id="72" w:name="_Toc256000104"/>
      <w:bookmarkStart w:id="73" w:name="_Toc256000022"/>
      <w:r>
        <w:t>Предприетите действия и актуалното състояние по отношение на изпълнението на плана за действие</w:t>
      </w:r>
      <w:bookmarkEnd w:id="71"/>
      <w:bookmarkEnd w:id="72"/>
      <w:bookmarkEnd w:id="7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Към 31.12.2018 г. е налице сключен договор за избор на изпълнител за изграждане на НСМ.</w:t>
            </w:r>
          </w:p>
          <w:p w:rsidR="002B3815" w:rsidRDefault="002B3815">
            <w:pPr>
              <w:pStyle w:val="BodyText"/>
            </w:pPr>
          </w:p>
        </w:tc>
      </w:tr>
    </w:tbl>
    <w:p w:rsidR="002B3815" w:rsidRDefault="0099452B">
      <w:pPr>
        <w:pStyle w:val="Heading2"/>
      </w:pPr>
      <w:bookmarkStart w:id="74" w:name="_Toc256000187"/>
      <w:bookmarkStart w:id="75" w:name="_Toc256000105"/>
      <w:bookmarkStart w:id="76" w:name="_Toc256000023"/>
      <w:r>
        <w:t xml:space="preserve">Стъпки, </w:t>
      </w:r>
      <w:r>
        <w:t>предприети за осигуряване на публичност на програмата (член 13 от Регламент за изпълнение (ЕС) № 808/2014 на Комисията)</w:t>
      </w:r>
      <w:bookmarkEnd w:id="74"/>
      <w:bookmarkEnd w:id="75"/>
      <w:bookmarkEnd w:id="7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В изпълнение на Комуникационния план на ПРСР 2014-2020 г. през 2018 г. Са извършени следните дейности:</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Сключени договори за информиран</w:t>
            </w:r>
            <w:r>
              <w:rPr>
                <w:szCs w:val="24"/>
              </w:rPr>
              <w:t>ост и публичност през 2018 г.:</w:t>
            </w:r>
          </w:p>
          <w:p w:rsidR="002B3815" w:rsidRDefault="0099452B">
            <w:pPr>
              <w:spacing w:before="240" w:after="240"/>
              <w:jc w:val="left"/>
              <w:rPr>
                <w:szCs w:val="24"/>
              </w:rPr>
            </w:pPr>
            <w:r>
              <w:rPr>
                <w:szCs w:val="24"/>
              </w:rPr>
              <w:t> </w:t>
            </w:r>
          </w:p>
          <w:p w:rsidR="002B3815" w:rsidRDefault="0099452B" w:rsidP="0099452B">
            <w:pPr>
              <w:numPr>
                <w:ilvl w:val="0"/>
                <w:numId w:val="74"/>
              </w:numPr>
              <w:spacing w:before="240" w:after="0"/>
              <w:ind w:hanging="280"/>
              <w:jc w:val="left"/>
              <w:rPr>
                <w:szCs w:val="24"/>
              </w:rPr>
            </w:pPr>
            <w:r>
              <w:rPr>
                <w:szCs w:val="24"/>
              </w:rPr>
              <w:t>Февруари 2018 г.: „Изработване и публикуване на рекламно-информационни материали за ПРСР (2014-2020 г.) в национални печатни издания“ на стойност: 482 549,72 лв. без ДДС.</w:t>
            </w:r>
          </w:p>
          <w:p w:rsidR="002B3815" w:rsidRDefault="0099452B" w:rsidP="0099452B">
            <w:pPr>
              <w:numPr>
                <w:ilvl w:val="0"/>
                <w:numId w:val="74"/>
              </w:numPr>
              <w:spacing w:before="0" w:after="240"/>
              <w:ind w:hanging="280"/>
              <w:jc w:val="left"/>
              <w:rPr>
                <w:szCs w:val="24"/>
              </w:rPr>
            </w:pPr>
            <w:r>
              <w:rPr>
                <w:szCs w:val="24"/>
              </w:rPr>
              <w:t xml:space="preserve">: Общо изплатена сума към 1 дек. 2018 г.:  </w:t>
            </w:r>
            <w:r>
              <w:rPr>
                <w:szCs w:val="24"/>
              </w:rPr>
              <w:t>286 560,08 лв. без ДДС</w:t>
            </w:r>
          </w:p>
          <w:p w:rsidR="002B3815" w:rsidRDefault="0099452B">
            <w:pPr>
              <w:spacing w:before="240" w:after="240"/>
              <w:jc w:val="left"/>
              <w:rPr>
                <w:szCs w:val="24"/>
              </w:rPr>
            </w:pPr>
            <w:r>
              <w:rPr>
                <w:szCs w:val="24"/>
              </w:rPr>
              <w:t>Общо реализирани публикации в 18 бр. печатни медии, от които 4 бр. в ежедневни издания (в-к „Стандарт“, в-к „Телеграф“, в-к „Сега“, в-к „Труд“ ив-к „24 часа“), 5 бр. в седмични издания (в-к „168 часа“, в-к „Банкеръ“, в-к „Български ф</w:t>
            </w:r>
            <w:r>
              <w:rPr>
                <w:szCs w:val="24"/>
              </w:rPr>
              <w:t>ермер“, сп. „Капитал“ и сп. „Икономист“), 3 бр. в месечни издания (сп. „Агробизнесът“, сп. „Агрозона“ и сп. „Агрокомпас“) и 5 бр. в издания с нефиксирана дата на излизане от печат (сп. „Практично земеделие“, сп. „Агроном“, сп. „Хранително-вкусова промишлен</w:t>
            </w:r>
            <w:r>
              <w:rPr>
                <w:szCs w:val="24"/>
              </w:rPr>
              <w:t>ост“ и сп. „Лозарство и винарство“).</w:t>
            </w:r>
          </w:p>
          <w:p w:rsidR="002B3815" w:rsidRDefault="0099452B" w:rsidP="0099452B">
            <w:pPr>
              <w:numPr>
                <w:ilvl w:val="0"/>
                <w:numId w:val="75"/>
              </w:numPr>
              <w:spacing w:before="240" w:after="0"/>
              <w:ind w:hanging="210"/>
              <w:jc w:val="left"/>
              <w:rPr>
                <w:szCs w:val="24"/>
              </w:rPr>
            </w:pPr>
            <w:r>
              <w:rPr>
                <w:szCs w:val="24"/>
              </w:rPr>
              <w:t>Общо публикувани материали 468 бр.</w:t>
            </w:r>
          </w:p>
          <w:p w:rsidR="002B3815" w:rsidRDefault="0099452B" w:rsidP="0099452B">
            <w:pPr>
              <w:numPr>
                <w:ilvl w:val="0"/>
                <w:numId w:val="75"/>
              </w:numPr>
              <w:spacing w:before="0" w:after="240"/>
              <w:ind w:hanging="210"/>
              <w:jc w:val="left"/>
              <w:rPr>
                <w:szCs w:val="24"/>
              </w:rPr>
            </w:pPr>
            <w:r>
              <w:rPr>
                <w:szCs w:val="24"/>
              </w:rPr>
              <w:t>До края на изпълнението на договора предстои да бъдат публикувани още 76 информационни материала за ПРСР.</w:t>
            </w:r>
          </w:p>
          <w:p w:rsidR="002B3815" w:rsidRDefault="0099452B" w:rsidP="0099452B">
            <w:pPr>
              <w:numPr>
                <w:ilvl w:val="0"/>
                <w:numId w:val="76"/>
              </w:numPr>
              <w:spacing w:before="240" w:after="240"/>
              <w:ind w:hanging="280"/>
              <w:jc w:val="left"/>
              <w:rPr>
                <w:szCs w:val="24"/>
              </w:rPr>
            </w:pPr>
            <w:r>
              <w:rPr>
                <w:szCs w:val="24"/>
              </w:rPr>
              <w:t>Март 2018 г.: „Изработване и публикуване на рекламно-информационни материали з</w:t>
            </w:r>
            <w:r>
              <w:rPr>
                <w:szCs w:val="24"/>
              </w:rPr>
              <w:t>а ПРСР (2014-2020 г.) в интернет сайтове“ на стойност: 278 692,40 лв. без ДДС.</w:t>
            </w:r>
          </w:p>
          <w:p w:rsidR="002B3815" w:rsidRDefault="0099452B">
            <w:pPr>
              <w:spacing w:before="240" w:after="240"/>
              <w:jc w:val="left"/>
              <w:rPr>
                <w:szCs w:val="24"/>
              </w:rPr>
            </w:pPr>
            <w:r>
              <w:rPr>
                <w:szCs w:val="24"/>
                <w:u w:val="single"/>
              </w:rPr>
              <w:t xml:space="preserve">Изпълнение: </w:t>
            </w:r>
            <w:r>
              <w:rPr>
                <w:szCs w:val="24"/>
              </w:rPr>
              <w:t>Общо изплатена сума към 1 дек. 2018 г.:  77 391,08 лв. без ДДС</w:t>
            </w:r>
          </w:p>
          <w:p w:rsidR="002B3815" w:rsidRDefault="0099452B" w:rsidP="0099452B">
            <w:pPr>
              <w:numPr>
                <w:ilvl w:val="0"/>
                <w:numId w:val="77"/>
              </w:numPr>
              <w:spacing w:before="240" w:after="0"/>
              <w:ind w:hanging="210"/>
              <w:jc w:val="left"/>
              <w:rPr>
                <w:szCs w:val="24"/>
              </w:rPr>
            </w:pPr>
            <w:r>
              <w:rPr>
                <w:szCs w:val="24"/>
              </w:rPr>
              <w:t>Общо публикувани 394 банера и 161 ПР материала.</w:t>
            </w:r>
          </w:p>
          <w:p w:rsidR="002B3815" w:rsidRDefault="0099452B" w:rsidP="0099452B">
            <w:pPr>
              <w:numPr>
                <w:ilvl w:val="0"/>
                <w:numId w:val="77"/>
              </w:numPr>
              <w:spacing w:before="0" w:after="240"/>
              <w:ind w:hanging="210"/>
              <w:jc w:val="left"/>
              <w:rPr>
                <w:szCs w:val="24"/>
              </w:rPr>
            </w:pPr>
            <w:r>
              <w:rPr>
                <w:szCs w:val="24"/>
              </w:rPr>
              <w:t xml:space="preserve">До края на изпълнението на договора предстои да бъдат </w:t>
            </w:r>
            <w:r>
              <w:rPr>
                <w:szCs w:val="24"/>
              </w:rPr>
              <w:t>публикувани 118 банера и 79 ПР материала.</w:t>
            </w:r>
          </w:p>
          <w:p w:rsidR="002B3815" w:rsidRDefault="0099452B" w:rsidP="0099452B">
            <w:pPr>
              <w:numPr>
                <w:ilvl w:val="0"/>
                <w:numId w:val="78"/>
              </w:numPr>
              <w:spacing w:before="240" w:after="0"/>
              <w:ind w:hanging="280"/>
              <w:jc w:val="left"/>
              <w:rPr>
                <w:szCs w:val="24"/>
              </w:rPr>
            </w:pPr>
            <w:r>
              <w:rPr>
                <w:szCs w:val="24"/>
              </w:rPr>
              <w:t>Март 2018 г.: „Изработка на дизайн, брандиране, отпечатване и доставка на рекламно-информационни материали за нуждите на ПРСР (2014-2020 г.)“ на стойност: 379 863,00 лв. без ДДС.</w:t>
            </w:r>
          </w:p>
          <w:p w:rsidR="002B3815" w:rsidRDefault="0099452B" w:rsidP="0099452B">
            <w:pPr>
              <w:numPr>
                <w:ilvl w:val="0"/>
                <w:numId w:val="78"/>
              </w:numPr>
              <w:spacing w:before="0" w:after="240"/>
              <w:ind w:hanging="280"/>
              <w:jc w:val="left"/>
              <w:rPr>
                <w:szCs w:val="24"/>
              </w:rPr>
            </w:pPr>
            <w:r>
              <w:rPr>
                <w:szCs w:val="24"/>
              </w:rPr>
              <w:t>Общо изплатена сума към 1 дек. 2018</w:t>
            </w:r>
            <w:r>
              <w:rPr>
                <w:szCs w:val="24"/>
              </w:rPr>
              <w:t xml:space="preserve"> г.:  84 413,70 лв.без ДДС</w:t>
            </w:r>
          </w:p>
          <w:p w:rsidR="002B3815" w:rsidRDefault="0099452B" w:rsidP="0099452B">
            <w:pPr>
              <w:numPr>
                <w:ilvl w:val="0"/>
                <w:numId w:val="79"/>
              </w:numPr>
              <w:spacing w:before="240" w:after="240"/>
              <w:ind w:hanging="210"/>
              <w:jc w:val="left"/>
              <w:rPr>
                <w:szCs w:val="24"/>
              </w:rPr>
            </w:pPr>
            <w:r>
              <w:rPr>
                <w:szCs w:val="24"/>
              </w:rPr>
              <w:t>Изработени и доставени 54 435 бр. рекламни материали (календари, химикалки, тефтери, тениски, шапки, ключодържатели, рекламни торбички, бланк нот-и).</w:t>
            </w:r>
          </w:p>
          <w:p w:rsidR="002B3815" w:rsidRDefault="0099452B" w:rsidP="0099452B">
            <w:pPr>
              <w:numPr>
                <w:ilvl w:val="0"/>
                <w:numId w:val="80"/>
              </w:numPr>
              <w:spacing w:before="240" w:after="0"/>
              <w:ind w:hanging="280"/>
              <w:jc w:val="left"/>
              <w:rPr>
                <w:szCs w:val="24"/>
              </w:rPr>
            </w:pPr>
            <w:r>
              <w:rPr>
                <w:szCs w:val="24"/>
              </w:rPr>
              <w:t>Март 2018 г.: „Създаване на сценарии и изработка на рекламни телевизионни клипо</w:t>
            </w:r>
            <w:r>
              <w:rPr>
                <w:szCs w:val="24"/>
              </w:rPr>
              <w:t>ве по ПРСР (2014-2020 г.)“ на стойност: 100 000,00 лв. без ДДС.</w:t>
            </w:r>
          </w:p>
          <w:p w:rsidR="002B3815" w:rsidRDefault="0099452B" w:rsidP="0099452B">
            <w:pPr>
              <w:numPr>
                <w:ilvl w:val="0"/>
                <w:numId w:val="80"/>
              </w:numPr>
              <w:spacing w:before="0" w:after="240"/>
              <w:ind w:hanging="280"/>
              <w:jc w:val="left"/>
              <w:rPr>
                <w:szCs w:val="24"/>
              </w:rPr>
            </w:pPr>
            <w:r>
              <w:rPr>
                <w:szCs w:val="24"/>
              </w:rPr>
              <w:t>Общо изплатена сума към 1 дек. 2018 г.:  47 996,00 лв. без ДДС</w:t>
            </w:r>
          </w:p>
          <w:p w:rsidR="002B3815" w:rsidRDefault="0099452B" w:rsidP="0099452B">
            <w:pPr>
              <w:numPr>
                <w:ilvl w:val="0"/>
                <w:numId w:val="81"/>
              </w:numPr>
              <w:spacing w:before="240" w:after="240"/>
              <w:ind w:hanging="210"/>
              <w:jc w:val="left"/>
              <w:rPr>
                <w:szCs w:val="24"/>
              </w:rPr>
            </w:pPr>
            <w:r>
              <w:rPr>
                <w:szCs w:val="24"/>
              </w:rPr>
              <w:t>Изработени 4 бр. 30 секунди аудио-визуални рекламни клипа по ПРСР с тематична насоченост.</w:t>
            </w:r>
          </w:p>
          <w:p w:rsidR="002B3815" w:rsidRDefault="0099452B" w:rsidP="0099452B">
            <w:pPr>
              <w:numPr>
                <w:ilvl w:val="0"/>
                <w:numId w:val="82"/>
              </w:numPr>
              <w:spacing w:before="240" w:after="0"/>
              <w:ind w:hanging="280"/>
              <w:jc w:val="left"/>
              <w:rPr>
                <w:szCs w:val="24"/>
              </w:rPr>
            </w:pPr>
            <w:r>
              <w:rPr>
                <w:szCs w:val="24"/>
              </w:rPr>
              <w:t xml:space="preserve">Май 2018 г.: „Туроператорски услуги за </w:t>
            </w:r>
            <w:r>
              <w:rPr>
                <w:szCs w:val="24"/>
              </w:rPr>
              <w:t>организиране на семинари по ПРСР 2014-2020 г.“ на стойност: 150 000,00 лв. без ДДС.</w:t>
            </w:r>
          </w:p>
          <w:p w:rsidR="002B3815" w:rsidRDefault="0099452B" w:rsidP="0099452B">
            <w:pPr>
              <w:numPr>
                <w:ilvl w:val="0"/>
                <w:numId w:val="82"/>
              </w:numPr>
              <w:spacing w:before="0" w:after="0"/>
              <w:ind w:hanging="280"/>
              <w:jc w:val="left"/>
              <w:rPr>
                <w:szCs w:val="24"/>
              </w:rPr>
            </w:pPr>
            <w:r>
              <w:rPr>
                <w:szCs w:val="24"/>
              </w:rPr>
              <w:t>към 31.12.2018 г. няма изпълнение по този договор</w:t>
            </w:r>
          </w:p>
          <w:p w:rsidR="002B3815" w:rsidRDefault="0099452B" w:rsidP="0099452B">
            <w:pPr>
              <w:numPr>
                <w:ilvl w:val="0"/>
                <w:numId w:val="82"/>
              </w:numPr>
              <w:spacing w:before="0" w:after="240"/>
              <w:ind w:hanging="280"/>
              <w:jc w:val="left"/>
              <w:rPr>
                <w:szCs w:val="24"/>
              </w:rPr>
            </w:pPr>
            <w:r>
              <w:rPr>
                <w:szCs w:val="24"/>
              </w:rPr>
              <w:t xml:space="preserve">Ноември 2018 г.: „Закупуване на програмно време за излъчване на информационни клипове по ПРСР (2014-2020 г.) в ефира на </w:t>
            </w:r>
            <w:r>
              <w:rPr>
                <w:szCs w:val="24"/>
              </w:rPr>
              <w:t>телевизия "Агро ТВ" на стойност: 19 110,00 лв. без ДДС.</w:t>
            </w:r>
          </w:p>
          <w:p w:rsidR="002B3815" w:rsidRDefault="0099452B">
            <w:pPr>
              <w:spacing w:before="240" w:after="240"/>
              <w:jc w:val="left"/>
              <w:rPr>
                <w:szCs w:val="24"/>
              </w:rPr>
            </w:pPr>
            <w:r>
              <w:rPr>
                <w:szCs w:val="24"/>
              </w:rPr>
              <w:t>Ноември 2018 г.: „Закупуване на програмно време за излъчване на информационни клипове по ПРСР (2014-2020 г.) в ефира на телевизия "Телевизия Европа" на стойност: 24 510,00 лв. без ДДС.</w:t>
            </w:r>
          </w:p>
          <w:p w:rsidR="002B3815" w:rsidRDefault="0099452B">
            <w:pPr>
              <w:spacing w:before="240" w:after="240"/>
              <w:jc w:val="left"/>
              <w:rPr>
                <w:szCs w:val="24"/>
              </w:rPr>
            </w:pPr>
            <w:r>
              <w:rPr>
                <w:szCs w:val="24"/>
              </w:rPr>
              <w:t>Ноември 2018 г.</w:t>
            </w:r>
            <w:r>
              <w:rPr>
                <w:szCs w:val="24"/>
              </w:rPr>
              <w:t>: „Закупуване на програмно време за излъчване на информационни клипове по ПРСР (2014-2020 г.) в ефира на телевизия "Канал 3" на стойност: 18 204,00 лв. без ДДС.</w:t>
            </w:r>
          </w:p>
          <w:p w:rsidR="002B3815" w:rsidRDefault="0099452B" w:rsidP="0099452B">
            <w:pPr>
              <w:numPr>
                <w:ilvl w:val="0"/>
                <w:numId w:val="83"/>
              </w:numPr>
              <w:spacing w:before="240" w:after="240"/>
              <w:ind w:hanging="280"/>
              <w:jc w:val="left"/>
              <w:rPr>
                <w:szCs w:val="24"/>
              </w:rPr>
            </w:pPr>
            <w:r>
              <w:rPr>
                <w:szCs w:val="24"/>
              </w:rPr>
              <w:t xml:space="preserve">Декември 2018 г.: „Закупуване на програмно време за излъчване на информационни клипове по ПРСР </w:t>
            </w:r>
            <w:r>
              <w:rPr>
                <w:szCs w:val="24"/>
              </w:rPr>
              <w:t>(2014-2020 г.) в ефира на телевизия БНТ“ на стойност: 94 465,68 лв. без ДДС.</w:t>
            </w:r>
          </w:p>
          <w:p w:rsidR="002B3815" w:rsidRDefault="0099452B">
            <w:pPr>
              <w:spacing w:before="240" w:after="240"/>
              <w:jc w:val="left"/>
              <w:rPr>
                <w:szCs w:val="24"/>
              </w:rPr>
            </w:pPr>
            <w:r>
              <w:rPr>
                <w:szCs w:val="24"/>
              </w:rPr>
              <w:t>Декември 2018 г.: „Закупуване на програмно време за излъчване на информационни клипове по ПРСР (2014-2020 г.) в ефира на радио "К2" на стойност: 14 960,00 лв. без ДДС.</w:t>
            </w:r>
          </w:p>
          <w:p w:rsidR="002B3815" w:rsidRDefault="0099452B">
            <w:pPr>
              <w:spacing w:before="240" w:after="240"/>
              <w:jc w:val="left"/>
              <w:rPr>
                <w:szCs w:val="24"/>
              </w:rPr>
            </w:pPr>
            <w:r>
              <w:rPr>
                <w:szCs w:val="24"/>
              </w:rPr>
              <w:t>Декември 20</w:t>
            </w:r>
            <w:r>
              <w:rPr>
                <w:szCs w:val="24"/>
              </w:rPr>
              <w:t>18 г.: „Закупуване на програмно време за излъчване на информационни клипове по ПРСР (2014-2020 г.) в ефира на радио "Дарик радио" АД“ на стойност: 15 500,00 лв. без ДДС.</w:t>
            </w:r>
          </w:p>
          <w:p w:rsidR="002B3815" w:rsidRDefault="0099452B">
            <w:pPr>
              <w:spacing w:before="240" w:after="240"/>
              <w:jc w:val="left"/>
              <w:rPr>
                <w:szCs w:val="24"/>
              </w:rPr>
            </w:pPr>
            <w:r>
              <w:rPr>
                <w:szCs w:val="24"/>
              </w:rPr>
              <w:t>Декември 2018 г.: „Извършване на дейности по организиране и провеждане на информационн</w:t>
            </w:r>
            <w:r>
              <w:rPr>
                <w:szCs w:val="24"/>
              </w:rPr>
              <w:t>и събития, свързани с прилагането на подхода ВОМР и провеждане на годишна международна конференция по подхода ВОМР“ на стойност: 467 777,00 без ДДС.</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u w:val="single"/>
              </w:rPr>
              <w:t>Проведена информационна кампания през 2018 г.</w:t>
            </w:r>
          </w:p>
          <w:p w:rsidR="002B3815" w:rsidRDefault="0099452B" w:rsidP="0099452B">
            <w:pPr>
              <w:numPr>
                <w:ilvl w:val="0"/>
                <w:numId w:val="84"/>
              </w:numPr>
              <w:spacing w:before="240" w:after="240"/>
              <w:ind w:hanging="210"/>
              <w:jc w:val="left"/>
              <w:rPr>
                <w:szCs w:val="24"/>
              </w:rPr>
            </w:pPr>
            <w:r>
              <w:rPr>
                <w:szCs w:val="24"/>
              </w:rPr>
              <w:t>: В периодът март-април 2018 г. в гр. София, гр. Стара Заго</w:t>
            </w:r>
            <w:r>
              <w:rPr>
                <w:szCs w:val="24"/>
              </w:rPr>
              <w:t>ра, гр. Враца и гр. Велико Търново се проведоха 4 бр. кръгли маси - дискусии с 280 бр. участници, насочени към подобряването на изпълнението на обществените поръчки по одобрени проекти от ПРСР 2014-2020 г. в т.ч. най-често допускани грешки и слабости при и</w:t>
            </w:r>
            <w:r>
              <w:rPr>
                <w:szCs w:val="24"/>
              </w:rPr>
              <w:t xml:space="preserve">зпълнението, както и подходи за тяхното преодоляване. По време на срещите са дискутирани основните пречки и предизвикателства пред успешното изпълнение на обществените поръчки от страна на общините; приема на заявления по подмярка 7.2., необходимите мерки </w:t>
            </w:r>
            <w:r>
              <w:rPr>
                <w:szCs w:val="24"/>
              </w:rPr>
              <w:t>за тяхното ускорено провеждане, както и слабостите при изпълнението им.</w:t>
            </w:r>
          </w:p>
          <w:p w:rsidR="002B3815" w:rsidRDefault="002B3815">
            <w:pPr>
              <w:pStyle w:val="BodyText"/>
            </w:pPr>
          </w:p>
        </w:tc>
      </w:tr>
    </w:tbl>
    <w:p w:rsidR="002B3815" w:rsidRDefault="002B3815">
      <w:pPr>
        <w:sectPr w:rsidR="002B3815">
          <w:pgSz w:w="12240" w:h="15840"/>
          <w:pgMar w:top="900" w:right="900" w:bottom="900" w:left="900" w:header="720" w:footer="720" w:gutter="0"/>
          <w:cols w:space="720"/>
        </w:sectPr>
      </w:pPr>
    </w:p>
    <w:p w:rsidR="002B3815" w:rsidRDefault="0099452B">
      <w:pPr>
        <w:pStyle w:val="Heading1"/>
      </w:pPr>
      <w:bookmarkStart w:id="77" w:name="_Toc256000188"/>
      <w:bookmarkStart w:id="78" w:name="_Toc256000106"/>
      <w:bookmarkStart w:id="79" w:name="_Toc256000024"/>
      <w:r>
        <w:t>Действия, предприети за изпълнение на предварителните условия</w:t>
      </w:r>
      <w:bookmarkEnd w:id="77"/>
      <w:bookmarkEnd w:id="78"/>
      <w:bookmarkEnd w:id="79"/>
    </w:p>
    <w:p w:rsidR="002B3815" w:rsidRDefault="0099452B">
      <w:r>
        <w:t>Този раздел се отнася само за годишния/ите доклад/и за изпълнението 2015, 2016</w:t>
      </w:r>
    </w:p>
    <w:p w:rsidR="002B3815" w:rsidRDefault="002B3815">
      <w:pPr>
        <w:sectPr w:rsidR="002B3815">
          <w:pgSz w:w="12240" w:h="15840"/>
          <w:pgMar w:top="900" w:right="900" w:bottom="900" w:left="900" w:header="720" w:footer="720" w:gutter="0"/>
          <w:cols w:space="720"/>
        </w:sectPr>
      </w:pPr>
    </w:p>
    <w:p w:rsidR="002B3815" w:rsidRDefault="0099452B">
      <w:pPr>
        <w:pStyle w:val="Heading1"/>
      </w:pPr>
      <w:bookmarkStart w:id="80" w:name="_Toc256000189"/>
      <w:bookmarkStart w:id="81" w:name="_Toc256000107"/>
      <w:bookmarkStart w:id="82" w:name="_Toc256000025"/>
      <w:r>
        <w:t xml:space="preserve">Описание на </w:t>
      </w:r>
      <w:r>
        <w:t>изпълнението на подпрограмите</w:t>
      </w:r>
      <w:bookmarkEnd w:id="80"/>
      <w:bookmarkEnd w:id="81"/>
      <w:bookmarkEnd w:id="8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В рамките на ПРСР 2014-2020 г. е разработена Тематична подпрограма за малки стопанства, като за тази цел е въведена дефиниция относно стопанствата, които попадат в тази категория на територията на страната, както следва:</w:t>
            </w:r>
          </w:p>
          <w:p w:rsidR="002B3815" w:rsidRDefault="0099452B" w:rsidP="0099452B">
            <w:pPr>
              <w:numPr>
                <w:ilvl w:val="0"/>
                <w:numId w:val="85"/>
              </w:numPr>
              <w:spacing w:before="240" w:after="0"/>
              <w:ind w:hanging="210"/>
              <w:jc w:val="left"/>
              <w:rPr>
                <w:szCs w:val="24"/>
              </w:rPr>
            </w:pPr>
            <w:r>
              <w:rPr>
                <w:szCs w:val="24"/>
              </w:rPr>
              <w:t>Иконо</w:t>
            </w:r>
            <w:r>
              <w:rPr>
                <w:szCs w:val="24"/>
              </w:rPr>
              <w:t>мически размер, измерен в стандартен производствен обем (СПО) [1]. от 2 000 до 7 999 евро и</w:t>
            </w:r>
          </w:p>
          <w:p w:rsidR="002B3815" w:rsidRDefault="0099452B" w:rsidP="0099452B">
            <w:pPr>
              <w:numPr>
                <w:ilvl w:val="0"/>
                <w:numId w:val="85"/>
              </w:numPr>
              <w:spacing w:before="0" w:after="240"/>
              <w:ind w:hanging="210"/>
              <w:jc w:val="left"/>
              <w:rPr>
                <w:szCs w:val="24"/>
              </w:rPr>
            </w:pPr>
            <w:r>
              <w:rPr>
                <w:szCs w:val="24"/>
              </w:rPr>
              <w:t>Регистрация като земеделски стопани.</w:t>
            </w:r>
          </w:p>
          <w:p w:rsidR="002B3815" w:rsidRDefault="0099452B">
            <w:pPr>
              <w:spacing w:before="240" w:after="240"/>
              <w:jc w:val="left"/>
              <w:rPr>
                <w:szCs w:val="24"/>
              </w:rPr>
            </w:pPr>
            <w:r>
              <w:rPr>
                <w:szCs w:val="24"/>
              </w:rPr>
              <w:t>Избраната дефиниция цели да насочи подпомагането към малки стопанства с потенциал за развитие. По тази причина е възприет долни</w:t>
            </w:r>
            <w:r>
              <w:rPr>
                <w:szCs w:val="24"/>
              </w:rPr>
              <w:t>ят праг от 2 000 евро СПО, под който преобладават стопанства с много ниска степен на пазарна ориентация. Основната част от най-малките стопанства нямат стремеж за развитие или планират да се оттеглят от земеделието. </w:t>
            </w:r>
          </w:p>
          <w:p w:rsidR="002B3815" w:rsidRDefault="0099452B">
            <w:pPr>
              <w:spacing w:before="240" w:after="240"/>
              <w:jc w:val="left"/>
              <w:rPr>
                <w:szCs w:val="24"/>
              </w:rPr>
            </w:pPr>
            <w:r>
              <w:rPr>
                <w:szCs w:val="24"/>
              </w:rPr>
              <w:t xml:space="preserve">Горният праг е определен за насочване </w:t>
            </w:r>
            <w:r>
              <w:rPr>
                <w:szCs w:val="24"/>
              </w:rPr>
              <w:t>на подпомагането към стопанства с ограничени икономически ресурси и сходни структурни проблеми. Отчетено е също, че горният праг на размера на малките стопанства е долен праг за подпомаганите стопанства на младите фермери.</w:t>
            </w:r>
          </w:p>
          <w:p w:rsidR="002B3815" w:rsidRDefault="0099452B">
            <w:pPr>
              <w:spacing w:before="240" w:after="240"/>
              <w:jc w:val="left"/>
              <w:rPr>
                <w:szCs w:val="24"/>
              </w:rPr>
            </w:pPr>
            <w:r>
              <w:rPr>
                <w:szCs w:val="24"/>
              </w:rPr>
              <w:t>Броят на малките стопанства, съгл</w:t>
            </w:r>
            <w:r>
              <w:rPr>
                <w:szCs w:val="24"/>
              </w:rPr>
              <w:t xml:space="preserve">асно националната дефиниция, към които е насочена Тематичната подпрограма, е 85 770, което е 23,2% от всички стопанства в България[2]. Почти всички малки стопанства развиват дейност като физически лица или еднолични търговци, като има само 520 стопанства, </w:t>
            </w:r>
            <w:r>
              <w:rPr>
                <w:szCs w:val="24"/>
              </w:rPr>
              <w:t>които са юридически лица. От всички малки стопанства, 69,3% са с размер до 3 999 евро, а останалите 30,7% имат размер от 4 000 до 7 999 евро.</w:t>
            </w:r>
          </w:p>
          <w:p w:rsidR="002B3815" w:rsidRDefault="0099452B">
            <w:pPr>
              <w:spacing w:before="240" w:after="240"/>
              <w:jc w:val="left"/>
              <w:rPr>
                <w:szCs w:val="24"/>
              </w:rPr>
            </w:pPr>
            <w:r>
              <w:rPr>
                <w:szCs w:val="24"/>
              </w:rPr>
              <w:t>Разпределението на малките стопанства по райони за планиране (NUTS2) в общи линии съответства на разпределението н</w:t>
            </w:r>
            <w:r>
              <w:rPr>
                <w:szCs w:val="24"/>
              </w:rPr>
              <w:t>а всички стопанства в страната (Таблица 2). В Южен централен регион развиват дейността си 27,5 хил. малки стопанства или 32% от всички малки стопанства в страната. В останалите региони малките стопанства са между 11 и 12 хиляди.</w:t>
            </w:r>
          </w:p>
          <w:p w:rsidR="002B3815" w:rsidRDefault="0099452B">
            <w:pPr>
              <w:spacing w:before="240" w:after="240"/>
              <w:jc w:val="left"/>
              <w:rPr>
                <w:szCs w:val="24"/>
              </w:rPr>
            </w:pPr>
            <w:r>
              <w:rPr>
                <w:szCs w:val="24"/>
              </w:rPr>
              <w:t>В планинските райони на стр</w:t>
            </w:r>
            <w:r>
              <w:rPr>
                <w:szCs w:val="24"/>
              </w:rPr>
              <w:t>аната развиват дейност 22,1 хил. малки стопанства, или 25,8% от всички.  </w:t>
            </w:r>
          </w:p>
          <w:p w:rsidR="002B3815" w:rsidRDefault="0099452B">
            <w:pPr>
              <w:spacing w:before="240" w:after="240"/>
              <w:jc w:val="left"/>
              <w:rPr>
                <w:szCs w:val="24"/>
              </w:rPr>
            </w:pPr>
            <w:r>
              <w:rPr>
                <w:szCs w:val="24"/>
              </w:rPr>
              <w:t>В предимно селски районни на ниво на NUTS2 са 59% от всички малки стопанства, а 41% са в междинни райони, което съвпада със средното разпределение на всички стопанства в България.</w:t>
            </w:r>
          </w:p>
          <w:p w:rsidR="002B3815" w:rsidRDefault="0099452B">
            <w:pPr>
              <w:spacing w:before="240" w:after="240"/>
              <w:jc w:val="left"/>
              <w:rPr>
                <w:szCs w:val="24"/>
              </w:rPr>
            </w:pPr>
            <w:r>
              <w:rPr>
                <w:szCs w:val="24"/>
              </w:rPr>
              <w:t>Из</w:t>
            </w:r>
            <w:r>
              <w:rPr>
                <w:szCs w:val="24"/>
              </w:rPr>
              <w:t xml:space="preserve">ползваната земеделска площ в малките стопанства е 203 930 ха или около 5% от общата в България. Разпределението на площите по вид на ползване като цяло съответства на средното за страната: 64,3% е обработваема земя, 26,0% – постоянно затревени площи, 8,4% </w:t>
            </w:r>
            <w:r>
              <w:rPr>
                <w:szCs w:val="24"/>
              </w:rPr>
              <w:t>– трайни насаждения и 1,2% – семейни градини.</w:t>
            </w:r>
          </w:p>
          <w:p w:rsidR="002B3815" w:rsidRDefault="0099452B">
            <w:pPr>
              <w:spacing w:before="240" w:after="240"/>
              <w:jc w:val="left"/>
              <w:rPr>
                <w:szCs w:val="24"/>
              </w:rPr>
            </w:pPr>
            <w:r>
              <w:rPr>
                <w:szCs w:val="24"/>
              </w:rPr>
              <w:t>Средният размер на използваната земеделска площ (ИЗП) в малките стопанства е 2,4 ха, сравнено с 12,1 ха средно за всички стопанства.</w:t>
            </w:r>
          </w:p>
          <w:p w:rsidR="002B3815" w:rsidRDefault="0099452B">
            <w:pPr>
              <w:spacing w:before="240" w:after="240"/>
              <w:jc w:val="left"/>
              <w:rPr>
                <w:szCs w:val="24"/>
              </w:rPr>
            </w:pPr>
            <w:r>
              <w:rPr>
                <w:szCs w:val="24"/>
              </w:rPr>
              <w:t>През периода 2005-2010 г. използваната земеделска площ в малките стопанства н</w:t>
            </w:r>
            <w:r>
              <w:rPr>
                <w:szCs w:val="24"/>
              </w:rPr>
              <w:t>амалява с около 20%, но се наблюдава благоприятна тенденция на значително увеличаване на средния размер на ИЗП в едно стопанство (от 1,6 ха на 2,4 ха).</w:t>
            </w:r>
          </w:p>
          <w:p w:rsidR="002B3815" w:rsidRDefault="0099452B">
            <w:pPr>
              <w:spacing w:before="240" w:after="240"/>
              <w:jc w:val="left"/>
              <w:rPr>
                <w:szCs w:val="24"/>
              </w:rPr>
            </w:pPr>
            <w:r>
              <w:rPr>
                <w:szCs w:val="24"/>
              </w:rPr>
              <w:t>Общият стандартният производствен обем (СПО) в малките стопанства е 308.8 млн. евро, което е 12,2% от на</w:t>
            </w:r>
            <w:r>
              <w:rPr>
                <w:szCs w:val="24"/>
              </w:rPr>
              <w:t>ционалния. Близо половината се създава от малките стопанства с размер от 4 000 до 7 999 евро.</w:t>
            </w:r>
          </w:p>
          <w:p w:rsidR="002B3815" w:rsidRDefault="0099452B">
            <w:pPr>
              <w:spacing w:before="240" w:after="240"/>
              <w:jc w:val="left"/>
              <w:rPr>
                <w:szCs w:val="24"/>
              </w:rPr>
            </w:pPr>
            <w:r>
              <w:rPr>
                <w:szCs w:val="24"/>
              </w:rPr>
              <w:t>Средният икономически размер на малките стопанства е 3 600 евро СПО, което е близо два пъти по-малко от средното за стопанствата в България.</w:t>
            </w:r>
          </w:p>
          <w:p w:rsidR="002B3815" w:rsidRDefault="0099452B">
            <w:pPr>
              <w:spacing w:before="240" w:after="240"/>
              <w:jc w:val="left"/>
              <w:rPr>
                <w:szCs w:val="24"/>
              </w:rPr>
            </w:pPr>
            <w:r>
              <w:rPr>
                <w:szCs w:val="24"/>
              </w:rPr>
              <w:t>По всички мерки от по</w:t>
            </w:r>
            <w:r>
              <w:rPr>
                <w:szCs w:val="24"/>
              </w:rPr>
              <w:t>дпрограмата с изключение на мярка „консултантски услуги” могат да кандидатстват само земеделски стопанства, които отговарят на следните условия:</w:t>
            </w:r>
          </w:p>
          <w:p w:rsidR="002B3815" w:rsidRDefault="0099452B" w:rsidP="0099452B">
            <w:pPr>
              <w:numPr>
                <w:ilvl w:val="0"/>
                <w:numId w:val="86"/>
              </w:numPr>
              <w:spacing w:before="240" w:after="0"/>
              <w:ind w:hanging="210"/>
              <w:jc w:val="left"/>
              <w:rPr>
                <w:szCs w:val="24"/>
              </w:rPr>
            </w:pPr>
            <w:r>
              <w:rPr>
                <w:szCs w:val="24"/>
              </w:rPr>
              <w:t>Икономически размер, измерен в стандартен производствен обем (СПО) от 2 000 до 7 999 евро, и</w:t>
            </w:r>
          </w:p>
          <w:p w:rsidR="002B3815" w:rsidRDefault="0099452B" w:rsidP="0099452B">
            <w:pPr>
              <w:numPr>
                <w:ilvl w:val="0"/>
                <w:numId w:val="86"/>
              </w:numPr>
              <w:spacing w:before="0" w:after="240"/>
              <w:ind w:hanging="210"/>
              <w:jc w:val="left"/>
              <w:rPr>
                <w:szCs w:val="24"/>
              </w:rPr>
            </w:pPr>
            <w:r>
              <w:rPr>
                <w:szCs w:val="24"/>
              </w:rPr>
              <w:t>Кандидатите трябва</w:t>
            </w:r>
            <w:r>
              <w:rPr>
                <w:szCs w:val="24"/>
              </w:rPr>
              <w:t xml:space="preserve"> да са регистрирани като земеделски стопани.</w:t>
            </w:r>
          </w:p>
          <w:p w:rsidR="002B3815" w:rsidRDefault="0099452B">
            <w:pPr>
              <w:spacing w:before="240" w:after="240"/>
              <w:jc w:val="left"/>
              <w:rPr>
                <w:szCs w:val="24"/>
              </w:rPr>
            </w:pPr>
            <w:r>
              <w:rPr>
                <w:szCs w:val="24"/>
              </w:rPr>
              <w:t>По мярка 4 „Инвестиции в материални активи“, подмeрки 4.1.2 и 4.2.2 инвестиционна подкрепа ще се осигури за земеделски стопани, които имат икономически размер на стопанството от 6 000 до 7 999 евро измерен в ста</w:t>
            </w:r>
            <w:r>
              <w:rPr>
                <w:szCs w:val="24"/>
              </w:rPr>
              <w:t>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w:t>
            </w:r>
          </w:p>
          <w:p w:rsidR="002B3815" w:rsidRDefault="0099452B">
            <w:pPr>
              <w:spacing w:before="240" w:after="240"/>
              <w:jc w:val="left"/>
              <w:rPr>
                <w:szCs w:val="24"/>
              </w:rPr>
            </w:pPr>
            <w:r>
              <w:rPr>
                <w:szCs w:val="24"/>
              </w:rPr>
              <w:t>По подпрограмата се прилагат всички общи условия за допустимост на дейностите и разходите, описа</w:t>
            </w:r>
            <w:r>
              <w:rPr>
                <w:szCs w:val="24"/>
              </w:rPr>
              <w:t>ни в Раздел 8.1 на ПРСР.</w:t>
            </w:r>
          </w:p>
          <w:p w:rsidR="002B3815" w:rsidRDefault="0099452B">
            <w:pPr>
              <w:spacing w:before="240" w:after="240"/>
              <w:jc w:val="left"/>
              <w:rPr>
                <w:szCs w:val="24"/>
              </w:rPr>
            </w:pPr>
            <w:r>
              <w:rPr>
                <w:szCs w:val="24"/>
              </w:rPr>
              <w:t>През периода 18.07.-22.10.2018 г. е отворен прием по подмярката с общ бюджет 12,5 млн. Евро. Към 31.12. 2018 г. няма сключени договори по подмярката.</w:t>
            </w:r>
          </w:p>
          <w:p w:rsidR="002B3815" w:rsidRDefault="0099452B">
            <w:pPr>
              <w:spacing w:before="240" w:after="240"/>
              <w:jc w:val="left"/>
              <w:rPr>
                <w:szCs w:val="24"/>
              </w:rPr>
            </w:pPr>
            <w:r>
              <w:rPr>
                <w:szCs w:val="24"/>
              </w:rPr>
              <w:t>Проведените приеми по подмярка 6.3 „Стартова помощ за развитието на малки стопанс</w:t>
            </w:r>
            <w:r>
              <w:rPr>
                <w:szCs w:val="24"/>
              </w:rPr>
              <w:t xml:space="preserve">тва” и 2.1.2 „Консултански услуги за малки земеделски стопанства”, както и детайли за получени заявления за кандидатстване, одобрени и разплатени суми по тях са дадени в част 1. С) „Ключова информация относно изпълнението на ПРСР въз основа на данни от a) </w:t>
            </w:r>
            <w:r>
              <w:rPr>
                <w:szCs w:val="24"/>
              </w:rPr>
              <w:t>и б) по акцентирани области” от настоящия ГДИ.</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rsidR="002B3815" w:rsidRDefault="0099452B">
            <w:pPr>
              <w:spacing w:before="240" w:after="240"/>
              <w:jc w:val="left"/>
              <w:rPr>
                <w:szCs w:val="24"/>
              </w:rPr>
            </w:pPr>
            <w:r>
              <w:rPr>
                <w:szCs w:val="24"/>
              </w:rPr>
              <w:t>[2]Ако не е посочено друго, всички данни в анали</w:t>
            </w:r>
            <w:r>
              <w:rPr>
                <w:szCs w:val="24"/>
              </w:rPr>
              <w:t>за са от Преброяването на земеделските стопанства в България през 2010 г.</w:t>
            </w:r>
          </w:p>
          <w:p w:rsidR="002B3815" w:rsidRDefault="002B3815">
            <w:pPr>
              <w:pStyle w:val="BodyText"/>
            </w:pPr>
          </w:p>
        </w:tc>
      </w:tr>
    </w:tbl>
    <w:p w:rsidR="002B3815" w:rsidRDefault="002B3815">
      <w:pPr>
        <w:sectPr w:rsidR="002B3815">
          <w:pgSz w:w="12240" w:h="15840"/>
          <w:pgMar w:top="900" w:right="900" w:bottom="900" w:left="900" w:header="720" w:footer="720" w:gutter="0"/>
          <w:cols w:space="720"/>
        </w:sectPr>
      </w:pPr>
    </w:p>
    <w:p w:rsidR="002B3815" w:rsidRDefault="0099452B">
      <w:pPr>
        <w:pStyle w:val="Heading1"/>
      </w:pPr>
      <w:bookmarkStart w:id="83" w:name="_Toc256000190"/>
      <w:bookmarkStart w:id="84" w:name="_Toc256000108"/>
      <w:bookmarkStart w:id="85" w:name="_Toc256000026"/>
      <w:r>
        <w:t>Оценка на информацията и напредъка в постигането на целите на програмата</w:t>
      </w:r>
      <w:bookmarkEnd w:id="83"/>
      <w:bookmarkEnd w:id="84"/>
      <w:bookmarkEnd w:id="85"/>
    </w:p>
    <w:p w:rsidR="002B3815" w:rsidRDefault="0099452B">
      <w:pPr>
        <w:pStyle w:val="Heading2"/>
      </w:pPr>
      <w:bookmarkStart w:id="86" w:name="_Toc256000191"/>
      <w:bookmarkStart w:id="87" w:name="_Toc256000109"/>
      <w:bookmarkStart w:id="88" w:name="_Toc256000027"/>
      <w:r>
        <w:t>Evaluation questions</w:t>
      </w:r>
      <w:bookmarkEnd w:id="86"/>
      <w:bookmarkEnd w:id="87"/>
      <w:bookmarkEnd w:id="88"/>
    </w:p>
    <w:p w:rsidR="002B3815" w:rsidRDefault="0099452B">
      <w:pPr>
        <w:pStyle w:val="Heading3"/>
        <w:jc w:val="left"/>
      </w:pPr>
      <w:bookmarkStart w:id="89" w:name="_Toc256000192"/>
      <w:bookmarkStart w:id="90" w:name="_Toc256000110"/>
      <w:bookmarkStart w:id="91" w:name="_Toc256000028"/>
      <w:r>
        <w:t>CEQ01-1A - До каква степен интервенциите по ПРСР са подпомогнали иновациите,</w:t>
      </w:r>
      <w:r>
        <w:t xml:space="preserve"> сътрудничеството и развитието на базата знания в селските райони?</w:t>
      </w:r>
      <w:bookmarkEnd w:id="89"/>
      <w:bookmarkEnd w:id="90"/>
      <w:bookmarkEnd w:id="91"/>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Представена е информация за реализирани проекти към 31.12.2018 г. за М02 — „Консултантски услуги, услуги по управление на стопанство и услуги по заместване в сто</w:t>
            </w:r>
            <w:r>
              <w:rPr>
                <w:szCs w:val="24"/>
              </w:rPr>
              <w:t>панство” и по конкретно за Подмярка 2.1. „Помощ за осигуряване на консултантски услуги”.</w:t>
            </w:r>
          </w:p>
          <w:p w:rsidR="002B3815" w:rsidRDefault="0099452B">
            <w:pPr>
              <w:spacing w:before="240" w:after="240"/>
              <w:jc w:val="left"/>
              <w:rPr>
                <w:szCs w:val="24"/>
              </w:rPr>
            </w:pPr>
            <w:r>
              <w:rPr>
                <w:szCs w:val="24"/>
              </w:rPr>
              <w:t>Информация по М01 — „Трансфер на знания и действия за осведомяване” и M16 — „Сътрудничество” не е получена, предвид факта, че прилагането на тези мерки не е стартирало</w:t>
            </w:r>
            <w:r>
              <w:rPr>
                <w:szCs w:val="24"/>
              </w:rPr>
              <w:t>.</w:t>
            </w:r>
          </w:p>
          <w:p w:rsidR="002B3815" w:rsidRDefault="0099452B">
            <w:pPr>
              <w:spacing w:before="240" w:after="240"/>
              <w:jc w:val="left"/>
              <w:rPr>
                <w:szCs w:val="24"/>
              </w:rPr>
            </w:pPr>
            <w:r>
              <w:rPr>
                <w:szCs w:val="24"/>
              </w:rPr>
              <w:t>Относнон мярка 19 са взети предвид всички реализирани плащани кумулативно за цялата мярка.</w:t>
            </w:r>
          </w:p>
          <w:p w:rsidR="002B3815" w:rsidRDefault="0099452B">
            <w:pPr>
              <w:spacing w:before="240" w:after="240"/>
              <w:jc w:val="left"/>
              <w:rPr>
                <w:szCs w:val="24"/>
              </w:rPr>
            </w:pPr>
            <w:r>
              <w:rPr>
                <w:szCs w:val="24"/>
              </w:rPr>
              <w:t>Предвид, че М01 и М16 не са стартирали и предвид приноса им към постигане на резултатите по ФО 1А не може да бъде направена оценка и даден отговор на поставения въ</w:t>
            </w:r>
            <w:r>
              <w:rPr>
                <w:szCs w:val="24"/>
              </w:rPr>
              <w:t>прос.</w:t>
            </w:r>
          </w:p>
          <w:p w:rsidR="002B3815" w:rsidRDefault="002B3815">
            <w:pPr>
              <w:pStyle w:val="BodyText"/>
            </w:pPr>
          </w:p>
        </w:tc>
      </w:tr>
    </w:tbl>
    <w:p w:rsidR="002B3815" w:rsidRDefault="0099452B">
      <w:pPr>
        <w:pStyle w:val="Heading3"/>
        <w:jc w:val="left"/>
      </w:pPr>
      <w:bookmarkStart w:id="92" w:name="_Toc256000193"/>
      <w:bookmarkStart w:id="93" w:name="_Toc256000111"/>
      <w:bookmarkStart w:id="94" w:name="_Toc256000029"/>
      <w:r>
        <w:t>CEQ02-1B - До каква степен интервенциите по ПРСР са засилили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w:t>
      </w:r>
      <w:r>
        <w:t xml:space="preserve"> екологичните показатели?</w:t>
      </w:r>
      <w:bookmarkEnd w:id="92"/>
      <w:bookmarkEnd w:id="93"/>
      <w:bookmarkEnd w:id="94"/>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Мярка 16 не е стартирала към 31.12.2018 г., а приноса на Мярка 19 не може да се отнесе към ФО 1Б. Отговор на въпроса все още не може да се изведе.</w:t>
            </w:r>
          </w:p>
          <w:p w:rsidR="002B3815" w:rsidRDefault="002B3815">
            <w:pPr>
              <w:pStyle w:val="BodyText"/>
            </w:pPr>
          </w:p>
        </w:tc>
      </w:tr>
    </w:tbl>
    <w:p w:rsidR="002B3815" w:rsidRDefault="0099452B">
      <w:pPr>
        <w:pStyle w:val="Heading3"/>
        <w:jc w:val="left"/>
      </w:pPr>
      <w:bookmarkStart w:id="95" w:name="_Toc256000194"/>
      <w:bookmarkStart w:id="96" w:name="_Toc256000112"/>
      <w:bookmarkStart w:id="97" w:name="_Toc256000030"/>
      <w:r>
        <w:t xml:space="preserve">CEQ03-1C - До каква степен интервенциите по ПРСР са </w:t>
      </w:r>
      <w:r>
        <w:t>подпомогнали ученето през целия живот и професионалното обучение в секторите на селското и горското стопанство?</w:t>
      </w:r>
      <w:bookmarkEnd w:id="95"/>
      <w:bookmarkEnd w:id="96"/>
      <w:bookmarkEnd w:id="97"/>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Отговор на въпроса на този етап на прилагане на програмата все още не може да се изведе.</w:t>
            </w:r>
          </w:p>
          <w:p w:rsidR="002B3815" w:rsidRDefault="002B3815">
            <w:pPr>
              <w:pStyle w:val="BodyText"/>
            </w:pPr>
          </w:p>
        </w:tc>
      </w:tr>
    </w:tbl>
    <w:p w:rsidR="002B3815" w:rsidRDefault="0099452B">
      <w:pPr>
        <w:pStyle w:val="Heading3"/>
        <w:jc w:val="left"/>
      </w:pPr>
      <w:bookmarkStart w:id="98" w:name="_Toc256000195"/>
      <w:bookmarkStart w:id="99" w:name="_Toc256000113"/>
      <w:bookmarkStart w:id="100" w:name="_Toc256000031"/>
      <w:r>
        <w:t>CEQ04-2A - До каква степе</w:t>
      </w:r>
      <w:r>
        <w:t>н интервенциите по ПРСР са допринесли за подобряване на икономическите резултати, преструктурирането и модернизацията на подпомогнатите стопанства, в частност чрез увеличаване на тяхното участие на пазара и разнообразяването на селскостопанските дейности?</w:t>
      </w:r>
      <w:bookmarkEnd w:id="98"/>
      <w:bookmarkEnd w:id="99"/>
      <w:bookmarkEnd w:id="100"/>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ОПА 2А се цели модернизиране и структурно приспособяване на земеделието и на нея е отделен бюджет от 253 млн. евро публични разходи (9% от общия). Към 31.12.2018 г. са усвоени 47.19% от планираните публични разходи. В същото вре</w:t>
            </w:r>
            <w:r>
              <w:rPr>
                <w:szCs w:val="24"/>
              </w:rPr>
              <w:t>ме поетите ангажименти надвишават предвидения по ФО 2 А бюджет и са в размер на 333 654 045 евро или 131,84% от планираното за 2023 г.</w:t>
            </w:r>
          </w:p>
          <w:p w:rsidR="002B3815" w:rsidRDefault="0099452B">
            <w:pPr>
              <w:spacing w:before="240" w:after="240"/>
              <w:jc w:val="left"/>
              <w:rPr>
                <w:szCs w:val="24"/>
              </w:rPr>
            </w:pPr>
            <w:r>
              <w:rPr>
                <w:szCs w:val="24"/>
              </w:rPr>
              <w:t>В рамките на тази приоритетна област се подпомагат инвестициите във физически капитал чрез под мярка 4.1 за целите на под</w:t>
            </w:r>
            <w:r>
              <w:rPr>
                <w:szCs w:val="24"/>
              </w:rPr>
              <w:t>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w:t>
            </w:r>
            <w:r>
              <w:rPr>
                <w:szCs w:val="24"/>
              </w:rPr>
              <w:t>те в 3500 стопанства и на нея е отделен 80% от бюджета на ПО2А.</w:t>
            </w:r>
          </w:p>
          <w:p w:rsidR="002B3815" w:rsidRDefault="0099452B">
            <w:pPr>
              <w:spacing w:before="240" w:after="240"/>
              <w:jc w:val="left"/>
              <w:rPr>
                <w:szCs w:val="24"/>
              </w:rPr>
            </w:pPr>
            <w:r>
              <w:rPr>
                <w:szCs w:val="24"/>
              </w:rPr>
              <w:t xml:space="preserve">Интервенциите по под мярка 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w:t>
            </w:r>
            <w:r>
              <w:rPr>
                <w:szCs w:val="24"/>
              </w:rPr>
              <w:t>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rsidR="002B3815" w:rsidRDefault="0099452B">
            <w:pPr>
              <w:spacing w:before="240" w:after="240"/>
              <w:jc w:val="left"/>
              <w:rPr>
                <w:szCs w:val="24"/>
              </w:rPr>
            </w:pPr>
            <w:r>
              <w:rPr>
                <w:szCs w:val="24"/>
              </w:rPr>
              <w:t>Към целите на ПО 2А е насочена и тематична подпрограма за малките земеде</w:t>
            </w:r>
            <w:r>
              <w:rPr>
                <w:szCs w:val="24"/>
              </w:rPr>
              <w:t>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109,93 млн. евро публични разходи, като по ПО 2А са програмирани 91% от тях. Основната част от средстват</w:t>
            </w:r>
            <w:r>
              <w:rPr>
                <w:szCs w:val="24"/>
              </w:rPr>
              <w:t>а на подпрограмата са насочени към М06.3 – 60,9 млн.евро, като се цели подпомагане на 4060 малки земеделски стопанства.</w:t>
            </w:r>
          </w:p>
          <w:p w:rsidR="002B3815" w:rsidRDefault="0099452B">
            <w:pPr>
              <w:spacing w:before="240" w:after="240"/>
              <w:jc w:val="left"/>
              <w:rPr>
                <w:szCs w:val="24"/>
              </w:rPr>
            </w:pPr>
            <w:r>
              <w:rPr>
                <w:szCs w:val="24"/>
              </w:rPr>
              <w:t>По под мярката 4.1 са сключени 1132 договора, които пряко се отнасят към ФО 2А. От които с междинно и окончателно плащане са 579 броя. П</w:t>
            </w:r>
            <w:r>
              <w:rPr>
                <w:szCs w:val="24"/>
              </w:rPr>
              <w:t>оетите ангажименти по сключени договори по под мярката значително надвишават предвидения бюджет.</w:t>
            </w:r>
          </w:p>
          <w:p w:rsidR="002B3815" w:rsidRDefault="0099452B">
            <w:pPr>
              <w:spacing w:before="240" w:after="240"/>
              <w:jc w:val="left"/>
              <w:rPr>
                <w:szCs w:val="24"/>
              </w:rPr>
            </w:pPr>
            <w:r>
              <w:rPr>
                <w:szCs w:val="24"/>
              </w:rPr>
              <w:t>По под мярка 6.3 са изготвени от НССЗ 2860 бизнес плана, което представлява над 75% от общо подадените заявления за подпомагане по мярката.</w:t>
            </w:r>
          </w:p>
          <w:p w:rsidR="002B3815" w:rsidRDefault="0099452B">
            <w:pPr>
              <w:spacing w:before="240" w:after="240"/>
              <w:jc w:val="left"/>
              <w:rPr>
                <w:szCs w:val="24"/>
              </w:rPr>
            </w:pPr>
            <w:r>
              <w:rPr>
                <w:szCs w:val="24"/>
              </w:rPr>
              <w:t>По под мярка 2.1 са</w:t>
            </w:r>
            <w:r>
              <w:rPr>
                <w:szCs w:val="24"/>
              </w:rPr>
              <w:t xml:space="preserve"> консултирани 4244 бенефициента, което е над 52% от заложената за 2023 г. цел.</w:t>
            </w:r>
          </w:p>
          <w:p w:rsidR="002B3815" w:rsidRDefault="0099452B">
            <w:pPr>
              <w:spacing w:before="240" w:after="240"/>
              <w:jc w:val="left"/>
              <w:rPr>
                <w:szCs w:val="24"/>
              </w:rPr>
            </w:pPr>
            <w:r>
              <w:rPr>
                <w:szCs w:val="24"/>
              </w:rPr>
              <w:t>Прави впечатление, че като публични разходи и брой подпомогнати стопанства преобладават стопанствата под 5 ha.</w:t>
            </w:r>
          </w:p>
          <w:p w:rsidR="002B3815" w:rsidRDefault="0099452B">
            <w:pPr>
              <w:spacing w:before="240" w:after="240"/>
              <w:jc w:val="left"/>
              <w:rPr>
                <w:szCs w:val="24"/>
              </w:rPr>
            </w:pPr>
            <w:r>
              <w:rPr>
                <w:szCs w:val="24"/>
              </w:rPr>
              <w:t>От направените анализи е видно, че подпомогнатите стопанства са ув</w:t>
            </w:r>
            <w:r>
              <w:rPr>
                <w:szCs w:val="24"/>
              </w:rPr>
              <w:t>еличили постоянно заетия персонал, което от части се дължи да заложените критерии за оценка по отношение на създаване на работни места чрез реализация дейностите по проектите и запазването на персонала в рамките на мониторинга на проекта по под мярка 4.1 и</w:t>
            </w:r>
            <w:r>
              <w:rPr>
                <w:szCs w:val="24"/>
              </w:rPr>
              <w:t xml:space="preserve"> 6.3.</w:t>
            </w:r>
          </w:p>
          <w:p w:rsidR="002B3815" w:rsidRDefault="0099452B">
            <w:pPr>
              <w:spacing w:before="240" w:after="240"/>
              <w:jc w:val="left"/>
              <w:rPr>
                <w:szCs w:val="24"/>
              </w:rPr>
            </w:pPr>
            <w:r>
              <w:rPr>
                <w:szCs w:val="24"/>
              </w:rPr>
              <w:t>Нетният ефект от ПРСР в промяната на R2, е 3 809 Евро/ГРЕ  Стойността означава, че подпомогнатите от ПРСР предприятия, в периода 2015-2018г са увеличили продажбите си на 1 зает с 3 809 Евро спрямо сходни на тях предприятия, които не са били подпомогн</w:t>
            </w:r>
            <w:r>
              <w:rPr>
                <w:szCs w:val="24"/>
              </w:rPr>
              <w:t>ати,</w:t>
            </w:r>
          </w:p>
          <w:p w:rsidR="002B3815" w:rsidRDefault="0099452B">
            <w:pPr>
              <w:spacing w:before="240" w:after="240"/>
              <w:jc w:val="left"/>
              <w:rPr>
                <w:szCs w:val="24"/>
              </w:rPr>
            </w:pPr>
            <w:r>
              <w:rPr>
                <w:szCs w:val="24"/>
              </w:rPr>
              <w:t>R2 за целия селскостопански сектор на национално равнище: 55 Евро / ГРЕ;</w:t>
            </w:r>
          </w:p>
          <w:p w:rsidR="002B3815" w:rsidRDefault="0099452B">
            <w:pPr>
              <w:spacing w:before="240" w:after="240"/>
              <w:jc w:val="left"/>
              <w:rPr>
                <w:szCs w:val="24"/>
              </w:rPr>
            </w:pPr>
            <w:r>
              <w:rPr>
                <w:szCs w:val="24"/>
              </w:rPr>
              <w:t>Принос на ПРСР в стойността на R2 на национално ниво:        42 Евро /ГРЕ.</w:t>
            </w:r>
          </w:p>
          <w:p w:rsidR="002B3815" w:rsidRDefault="0099452B">
            <w:pPr>
              <w:spacing w:before="240" w:after="240"/>
              <w:jc w:val="left"/>
              <w:rPr>
                <w:szCs w:val="24"/>
              </w:rPr>
            </w:pPr>
            <w:r>
              <w:rPr>
                <w:szCs w:val="24"/>
              </w:rPr>
              <w:t>Показател R2 на национално ниво показва, че нито производството, нито производителността в селското сто</w:t>
            </w:r>
            <w:r>
              <w:rPr>
                <w:szCs w:val="24"/>
              </w:rPr>
              <w:t xml:space="preserve">панство са се изменили чувствително на секторно ниво за продължителен период от време. В сравнение с националния показател R2 - 55 Евро / ГРЕ, този на бенефициентите на ПРСР е R2 = 2 432 Евро/ГРЕ, докато сходните предприятия, които не са получили подкрепа </w:t>
            </w:r>
            <w:r>
              <w:rPr>
                <w:szCs w:val="24"/>
              </w:rPr>
              <w:t>от ПРСР са влошили своята производителност. Техният показател R2 е отрицателен, но точната му стойност в Евро/ГРЕ е със спорна представителност, защото R2 не дава вярна представа за икономиката, в случаите когато работодателите държат излишна работна ръка,</w:t>
            </w:r>
            <w:r>
              <w:rPr>
                <w:szCs w:val="24"/>
              </w:rPr>
              <w:t xml:space="preserve"> тъй като тогава намалението в  производството се дели на повече ГРЕ и така изглежда, че е по-малко. </w:t>
            </w:r>
          </w:p>
          <w:p w:rsidR="002B3815" w:rsidRDefault="0099452B">
            <w:pPr>
              <w:spacing w:before="240" w:after="240"/>
              <w:jc w:val="left"/>
              <w:rPr>
                <w:szCs w:val="24"/>
              </w:rPr>
            </w:pPr>
            <w:r>
              <w:rPr>
                <w:szCs w:val="24"/>
              </w:rPr>
              <w:t>Производителността на национално ниво, като величина представляваща БДС на една годишна работна единица (ГРЕ), не бележи никакво съществено увеличение пре</w:t>
            </w:r>
            <w:r>
              <w:rPr>
                <w:szCs w:val="24"/>
              </w:rPr>
              <w:t>з последните 6 години. Например,  в периода между 2010 и 2012 г., тя е средно 3 825,9 евро / ГРЕ,  т.е. 26% от ЕС-27 /както се сочи и на стр.30 от ПРСР 2014-2020 г.), през 2015г. тя е дори по-ниска - 3 587 Евро / ГРЕ, а през 2018г., т.е. за 8 години, тя не</w:t>
            </w:r>
            <w:r>
              <w:rPr>
                <w:szCs w:val="24"/>
              </w:rPr>
              <w:t>значително е нараснала – до 4 022 Евро / ГРЕ. </w:t>
            </w:r>
          </w:p>
          <w:p w:rsidR="002B3815" w:rsidRDefault="0099452B">
            <w:pPr>
              <w:spacing w:before="240" w:after="240"/>
              <w:jc w:val="left"/>
              <w:rPr>
                <w:szCs w:val="24"/>
              </w:rPr>
            </w:pPr>
            <w:r>
              <w:rPr>
                <w:szCs w:val="24"/>
              </w:rPr>
              <w:t>Изводът се потвърждава от макроикономическата статистика на НСИ – данни за брутна добавена стойност за единица време - БДС/ГРЕ.</w:t>
            </w:r>
          </w:p>
          <w:p w:rsidR="002B3815" w:rsidRDefault="002B3815">
            <w:pPr>
              <w:pStyle w:val="BodyText"/>
            </w:pPr>
          </w:p>
        </w:tc>
      </w:tr>
    </w:tbl>
    <w:p w:rsidR="002B3815" w:rsidRDefault="0099452B">
      <w:pPr>
        <w:pStyle w:val="Heading3"/>
        <w:jc w:val="left"/>
      </w:pPr>
      <w:bookmarkStart w:id="101" w:name="_Toc256000196"/>
      <w:bookmarkStart w:id="102" w:name="_Toc256000114"/>
      <w:bookmarkStart w:id="103" w:name="_Toc256000032"/>
      <w:r>
        <w:t>CEQ05-2B - До каква степен интервенциите по ПРСР са подпомогнали навлизането на</w:t>
      </w:r>
      <w:r>
        <w:t xml:space="preserve"> земеделски стопани с подходяща квалификация в селскостопанския сектор, и по-специално приемствеността между поколенията?</w:t>
      </w:r>
      <w:bookmarkEnd w:id="101"/>
      <w:bookmarkEnd w:id="102"/>
      <w:bookmarkEnd w:id="103"/>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Поставената цел към 2023 г. е 0.83 % от стопанствата, разполагащи с бизнес план за развитие/инвестиции за </w:t>
            </w:r>
            <w:r>
              <w:rPr>
                <w:szCs w:val="24"/>
              </w:rPr>
              <w:t>млади земеделски стопани, подпомагани по ПРСР. Към настоящия момент е постигната стойност 0.73. Предвид предстоящото сключване на договори по втория прием по подмярка 6.1, то изпълнението на поставената за програмния период цел, не изглежда поставена под р</w:t>
            </w:r>
            <w:r>
              <w:rPr>
                <w:szCs w:val="24"/>
              </w:rPr>
              <w:t>иск.</w:t>
            </w:r>
          </w:p>
          <w:p w:rsidR="002B3815" w:rsidRDefault="0099452B">
            <w:pPr>
              <w:spacing w:before="240" w:after="240"/>
              <w:jc w:val="left"/>
              <w:rPr>
                <w:szCs w:val="24"/>
              </w:rPr>
            </w:pPr>
            <w:r>
              <w:rPr>
                <w:szCs w:val="24"/>
              </w:rPr>
              <w:t>Около 63 500 000 евро от всички договорени публични разходи по подмярка 4.1 са за млади земеделски стопани. Освен това, сключените договори по подмярка 6.1 са с обща стойност около 33 000 000 евро. Предвид предстоящото договаряне на подадените проекти</w:t>
            </w:r>
            <w:r>
              <w:rPr>
                <w:szCs w:val="24"/>
              </w:rPr>
              <w:t xml:space="preserve"> по втория прием по подмярка 6.1., които са в размер на 22 000 000 евро, то изпълнение на планирания финансов ресурс в рамките на фокус област 2Б в размер на 100 864 735 евро, не изглежда поставен под риск.</w:t>
            </w:r>
          </w:p>
          <w:p w:rsidR="002B3815" w:rsidRDefault="0099452B">
            <w:pPr>
              <w:spacing w:before="240" w:after="240"/>
              <w:jc w:val="left"/>
              <w:rPr>
                <w:szCs w:val="24"/>
              </w:rPr>
            </w:pPr>
            <w:r>
              <w:rPr>
                <w:szCs w:val="24"/>
              </w:rPr>
              <w:t xml:space="preserve">Следва да се има предвид и косвеното въздействие </w:t>
            </w:r>
            <w:r>
              <w:rPr>
                <w:szCs w:val="24"/>
              </w:rPr>
              <w:t>на М19, която също ще допренесе за достигане на заложените в рамките на фокус облас 2Б цели.</w:t>
            </w:r>
          </w:p>
          <w:p w:rsidR="002B3815" w:rsidRDefault="0099452B">
            <w:pPr>
              <w:spacing w:before="240" w:after="240"/>
              <w:jc w:val="left"/>
              <w:rPr>
                <w:szCs w:val="24"/>
              </w:rPr>
            </w:pPr>
            <w:r>
              <w:rPr>
                <w:szCs w:val="24"/>
              </w:rPr>
              <w:t>Подмерки 4.1 и 6.1 предвиждат финсиране на млади земеделски стопани, само в случай, че те имат подходящи професионални умения и компетентности. На такива, които ня</w:t>
            </w:r>
            <w:r>
              <w:rPr>
                <w:szCs w:val="24"/>
              </w:rPr>
              <w:t>мат такива, се вменява задължение за придобиването им, което несъмнено допринася за постигането на заложените в рамките на фокус област 2Б цели. Освен това, всички бенефициенти по подмярка 6.1. са длъжни да преминат курс, включващ обучение по основни пробл</w:t>
            </w:r>
            <w:r>
              <w:rPr>
                <w:szCs w:val="24"/>
              </w:rPr>
              <w:t>еми по опазване компонентите на околната среда в земеделския сектор или да участват в информационна дейност относно тези проблеми.</w:t>
            </w:r>
          </w:p>
          <w:p w:rsidR="002B3815" w:rsidRDefault="0099452B">
            <w:pPr>
              <w:spacing w:before="240" w:after="240"/>
              <w:jc w:val="left"/>
              <w:rPr>
                <w:szCs w:val="24"/>
              </w:rPr>
            </w:pPr>
            <w:r>
              <w:rPr>
                <w:szCs w:val="24"/>
              </w:rPr>
              <w:t>Предвид поетите ангажименти за ФО 2Б в размер на 124,36% от предвидената цел за 2023 г. считаме, че интервенциите по ФО 2Б пр</w:t>
            </w:r>
            <w:r>
              <w:rPr>
                <w:szCs w:val="24"/>
              </w:rPr>
              <w:t>яко подпомагат навлизането на земеделски стопани с подходяща квалификация в селскостопанския сектор. Стартирането на М01 би ускорило процеса и намалило финансовата тежест на стопанствата, предвид че към настоящия момент изискванията за придобиване на квали</w:t>
            </w:r>
            <w:r>
              <w:rPr>
                <w:szCs w:val="24"/>
              </w:rPr>
              <w:t>фикация се покриват финансово от самите бенефициенти.</w:t>
            </w:r>
          </w:p>
          <w:p w:rsidR="002B3815" w:rsidRDefault="002B3815">
            <w:pPr>
              <w:pStyle w:val="BodyText"/>
            </w:pPr>
          </w:p>
        </w:tc>
      </w:tr>
    </w:tbl>
    <w:p w:rsidR="002B3815" w:rsidRDefault="0099452B">
      <w:pPr>
        <w:pStyle w:val="Heading3"/>
        <w:jc w:val="left"/>
      </w:pPr>
      <w:bookmarkStart w:id="104" w:name="_Toc256000197"/>
      <w:bookmarkStart w:id="105" w:name="_Toc256000115"/>
      <w:bookmarkStart w:id="106" w:name="_Toc256000033"/>
      <w:r>
        <w:t>CEQ06-3A - До каква степен интервенциите по ПРСР са допринесли за подобряване на конкурентоспособността на подпомаганите първични производители чрез по-доброто им интегриране в селскостопанската и хра</w:t>
      </w:r>
      <w:r>
        <w:t>нителната верига чрез схеми за качество, чрез добавяне на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bookmarkEnd w:id="104"/>
      <w:bookmarkEnd w:id="105"/>
      <w:bookmarkEnd w:id="106"/>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В рамките на Област с поставен акцент 3А на ПРСР са предвидени общо 316 230 507,80 евро от бюджета на ПРСР. Чрез заложените средства се предвижда да бъдe оказан ефект върху подобряване на вертикалното и хоризонталното сътрудничество между земеделските прои</w:t>
            </w:r>
            <w:r>
              <w:rPr>
                <w:szCs w:val="24"/>
              </w:rPr>
              <w:t>зводители, преработватели и търговци, ускоряване на иновациите, подобряване на енергийната ефективност и технологичното обновление в хранителната промишленост, както и скъсяване веригите на доставки, насърчаване на местните пазари и подобряване на маркетин</w:t>
            </w:r>
            <w:r>
              <w:rPr>
                <w:szCs w:val="24"/>
              </w:rPr>
              <w:t>га на земеделски продукти.</w:t>
            </w:r>
          </w:p>
          <w:p w:rsidR="002B3815" w:rsidRDefault="0099452B">
            <w:pPr>
              <w:spacing w:before="240" w:after="240"/>
              <w:jc w:val="left"/>
              <w:rPr>
                <w:szCs w:val="24"/>
              </w:rPr>
            </w:pPr>
            <w:r>
              <w:rPr>
                <w:szCs w:val="24"/>
              </w:rPr>
              <w:t>Планираните резултати в рамките на фокус областта са 450 земеделски стопанства да получават подпомагане по схеми за качество, местни пазари и къси вериги на доставки и групи/организации на производителите. В рамките на фокус обла</w:t>
            </w:r>
            <w:r>
              <w:rPr>
                <w:szCs w:val="24"/>
              </w:rPr>
              <w:t>стта се предвижда също така 3150 консултирани бенефициенти (М 2.1), 80 бенефициери (стопанства), получаващи помощ при стартиране/подкрепа за инвестиции в неселскостопански дейности в селските райони (6.2 и 6.4), реализиране на проекти на 40 групи/организац</w:t>
            </w:r>
            <w:r>
              <w:rPr>
                <w:szCs w:val="24"/>
              </w:rPr>
              <w:t xml:space="preserve">ии на прозиводителите, в рамките на които да участват 170 земеделски стопанства, 3 000 животновъдни стопанства да преминат към повишени стандарти при отглеждане на животните (М 14) и участие на 280 земеделски стопанства по М 16.4 в сътрудничество/дейности </w:t>
            </w:r>
            <w:r>
              <w:rPr>
                <w:szCs w:val="24"/>
              </w:rPr>
              <w:t>на местно равнище за популяризиране между участниците във веригата на доставки.</w:t>
            </w:r>
          </w:p>
          <w:p w:rsidR="002B3815" w:rsidRDefault="0099452B">
            <w:pPr>
              <w:spacing w:before="240" w:after="240"/>
              <w:jc w:val="left"/>
              <w:rPr>
                <w:szCs w:val="24"/>
              </w:rPr>
            </w:pPr>
            <w:r>
              <w:rPr>
                <w:szCs w:val="24"/>
              </w:rPr>
              <w:t>Към 31 декември 2018 г. от предвидените мерки/подмерки, свързани с постигане на заложените показатели е стартирано изпълнението на подмярка 4.2 „Инвестиции в преработка/маркети</w:t>
            </w:r>
            <w:r>
              <w:rPr>
                <w:szCs w:val="24"/>
              </w:rPr>
              <w:t>нг на селскостопански продукти“ въз основа на обработка на заявления за подпомагане, постъпили в рамките на приема на заявления, проведен в края на 2015 г., по които към 31 декември 2018 г. са сключени 295 договори за подпомагане, от които 290 бр. са насоч</w:t>
            </w:r>
            <w:r>
              <w:rPr>
                <w:szCs w:val="24"/>
              </w:rPr>
              <w:t>ени към ФО 3А. Все още не са договорени средства от проведения през 2018 година прием по под мярка 4.2.</w:t>
            </w:r>
          </w:p>
          <w:p w:rsidR="002B3815" w:rsidRDefault="0099452B">
            <w:pPr>
              <w:spacing w:before="240" w:after="240"/>
              <w:jc w:val="left"/>
              <w:rPr>
                <w:szCs w:val="24"/>
              </w:rPr>
            </w:pPr>
            <w:r>
              <w:rPr>
                <w:szCs w:val="24"/>
              </w:rPr>
              <w:t>Стойността на договорените средства от бюджета на ПРСР, относими към област с поставен акцент 2А е 185 742 740 Евро, което е договаряне в размер на 58,7</w:t>
            </w:r>
            <w:r>
              <w:rPr>
                <w:szCs w:val="24"/>
              </w:rPr>
              <w:t>4% от планираната за 2023 г. цел. Реализираните проекти до момента усвояват едва 10.66% от предвидения бюджет. Предвид не приключилият прием по подмярки 4.2 и 6.4 и съответно бюджета, който ще бъде договорен по тези приеми, планираният показател за изпълне</w:t>
            </w:r>
            <w:r>
              <w:rPr>
                <w:szCs w:val="24"/>
              </w:rPr>
              <w:t>нието за ФО 3 А ще бъде изпълнен към 2023 г.</w:t>
            </w:r>
          </w:p>
          <w:p w:rsidR="002B3815" w:rsidRDefault="0099452B">
            <w:pPr>
              <w:spacing w:before="240" w:after="240"/>
              <w:jc w:val="left"/>
              <w:rPr>
                <w:szCs w:val="24"/>
              </w:rPr>
            </w:pPr>
            <w:r>
              <w:rPr>
                <w:szCs w:val="24"/>
              </w:rPr>
              <w:t xml:space="preserve">Относно целевият индикатор „Процент на земеделските стопанства, получаващи подпомагане по схеми за качество, местни пазари и къси вериги на доставки и групи/организации на прозводителите“ към 31.12.2018 г. е </w:t>
            </w:r>
            <w:r>
              <w:rPr>
                <w:szCs w:val="24"/>
              </w:rPr>
              <w:t>отбелязан съществен напредък и тенденцията ще се запази, предвид поетите ангажименти и броя на постъпилите заявления за кандидатстване по не приключили приеми към 31.12.2018 г.</w:t>
            </w:r>
          </w:p>
          <w:p w:rsidR="002B3815" w:rsidRDefault="002B3815">
            <w:pPr>
              <w:pStyle w:val="BodyText"/>
            </w:pPr>
          </w:p>
        </w:tc>
      </w:tr>
    </w:tbl>
    <w:p w:rsidR="002B3815" w:rsidRDefault="0099452B">
      <w:pPr>
        <w:pStyle w:val="Heading3"/>
        <w:jc w:val="left"/>
      </w:pPr>
      <w:bookmarkStart w:id="107" w:name="_Toc256000198"/>
      <w:bookmarkStart w:id="108" w:name="_Toc256000116"/>
      <w:bookmarkStart w:id="109" w:name="_Toc256000034"/>
      <w:r>
        <w:t xml:space="preserve">CEQ07-3B - До каква степен интервенциите по ПРСР са подпомогнали превенцията </w:t>
      </w:r>
      <w:r>
        <w:t>и управлението на риска на стопанствата?</w:t>
      </w:r>
      <w:bookmarkEnd w:id="107"/>
      <w:bookmarkEnd w:id="108"/>
      <w:bookmarkEnd w:id="109"/>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М01 и М02 пряко се отнасят към ФО 3В. Интервенциите по тези мярки водят до повишаване на умения и знания на земеделските стопани в областта на управлението на риска. Към 31.12.2018 г. са </w:t>
            </w:r>
            <w:r>
              <w:rPr>
                <w:szCs w:val="24"/>
              </w:rPr>
              <w:t>консултирани 1535 брой бенефициенти, което е 1023 % заложената за 2023 г. цел. Бюджетът, с който е постигнат този показател по под мярка 2.1 е в размер на 127 396 евро, което е 84,93 % от заложената за 2023 г. цел. Общо за ФО 3В са усвоени 127 396 евро или</w:t>
            </w:r>
            <w:r>
              <w:rPr>
                <w:szCs w:val="24"/>
              </w:rPr>
              <w:t xml:space="preserve"> 36.40 % от целта за 2023 г. Под мярка 1.1 не е стартирала към 31.12.2018 г., поради което не може да се изчисли T7 – Брой на участниците в обучения по Мярка 1.</w:t>
            </w:r>
          </w:p>
          <w:p w:rsidR="002B3815" w:rsidRDefault="0099452B">
            <w:pPr>
              <w:spacing w:before="240" w:after="240"/>
              <w:jc w:val="left"/>
              <w:rPr>
                <w:szCs w:val="24"/>
              </w:rPr>
            </w:pPr>
            <w:r>
              <w:rPr>
                <w:szCs w:val="24"/>
              </w:rPr>
              <w:t>Въпреки принципната възможност за сравняване по показател Т7 / R5 на представителна група от бе</w:t>
            </w:r>
            <w:r>
              <w:rPr>
                <w:szCs w:val="24"/>
              </w:rPr>
              <w:t>нифициенти и контролна група от небенефициенти, в случая е невъзможно да се конструира контролна група. Не е възможно да се  сравняват абстрактни резултати като транссфер на знания и консултантски услуги. За М01 би липсвал измерим резултат и съпоставими да</w:t>
            </w:r>
            <w:r>
              <w:rPr>
                <w:szCs w:val="24"/>
              </w:rPr>
              <w:t>нни.</w:t>
            </w:r>
          </w:p>
          <w:p w:rsidR="002B3815" w:rsidRDefault="0099452B">
            <w:pPr>
              <w:spacing w:before="240" w:after="240"/>
              <w:jc w:val="left"/>
              <w:rPr>
                <w:szCs w:val="24"/>
              </w:rPr>
            </w:pPr>
            <w:r>
              <w:rPr>
                <w:szCs w:val="24"/>
              </w:rPr>
              <w:t>Съвкупно, за Област с поставен акцент 3В не могат да се изведат съотношения, с които да бъде извършен анализ на ефективността и ефикасността на ПРСР.</w:t>
            </w:r>
          </w:p>
          <w:p w:rsidR="002B3815" w:rsidRDefault="0099452B">
            <w:pPr>
              <w:spacing w:before="240" w:after="240"/>
              <w:jc w:val="left"/>
              <w:rPr>
                <w:szCs w:val="24"/>
              </w:rPr>
            </w:pPr>
            <w:r>
              <w:rPr>
                <w:szCs w:val="24"/>
              </w:rPr>
              <w:t>Предвид приноса на под мярка 1.1 към ФО 3В по отношение на бюджет и участници в обучения и предвид, ч</w:t>
            </w:r>
            <w:r>
              <w:rPr>
                <w:szCs w:val="24"/>
              </w:rPr>
              <w:t>е под мярката, фигурира в индикативната годишна работна програма на ПРСР 2014-2020 г. за 2019 г. отговор на въпроса ще може да се даде при последваща оценка на ПРСР. </w:t>
            </w:r>
          </w:p>
          <w:p w:rsidR="002B3815" w:rsidRDefault="002B3815">
            <w:pPr>
              <w:pStyle w:val="BodyText"/>
            </w:pPr>
          </w:p>
        </w:tc>
      </w:tr>
    </w:tbl>
    <w:p w:rsidR="002B3815" w:rsidRDefault="0099452B">
      <w:pPr>
        <w:pStyle w:val="Heading3"/>
        <w:jc w:val="left"/>
      </w:pPr>
      <w:bookmarkStart w:id="110" w:name="_Toc256000199"/>
      <w:bookmarkStart w:id="111" w:name="_Toc256000117"/>
      <w:bookmarkStart w:id="112" w:name="_Toc256000035"/>
      <w:r>
        <w:t>CEQ08-4A - До каква степен интервенциите по ПРСР са подпомогнали възстановяването, запа</w:t>
      </w:r>
      <w:r>
        <w:t>зването и укрепването на биологичното разнообразие, включително в зони по „Натура 2000“, области с природни или други специфични ограничения, както и земеделието с висока природна стойност, както и състоянието на европейския ландшафт?</w:t>
      </w:r>
      <w:bookmarkEnd w:id="110"/>
      <w:bookmarkEnd w:id="111"/>
      <w:bookmarkEnd w:id="112"/>
    </w:p>
    <w:p w:rsidR="002B3815" w:rsidRDefault="0099452B">
      <w:pPr>
        <w:pStyle w:val="Heading4"/>
        <w:jc w:val="left"/>
      </w:pPr>
      <w:r>
        <w:t xml:space="preserve">Отговор на въпрос за </w:t>
      </w:r>
      <w:r>
        <w:t>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Планирания финансов ресурс в рамките на Приоритет 4 е в размер на 983 098 023 евро. ПРСР предвижда изпълнението на Област с поставен акцент 4А от Приоритет 4 да се постигне посредством прилагането на следните мерки:</w:t>
            </w:r>
          </w:p>
          <w:p w:rsidR="002B3815" w:rsidRDefault="0099452B" w:rsidP="0099452B">
            <w:pPr>
              <w:numPr>
                <w:ilvl w:val="0"/>
                <w:numId w:val="87"/>
              </w:numPr>
              <w:spacing w:before="240" w:after="0"/>
              <w:ind w:hanging="210"/>
              <w:jc w:val="left"/>
              <w:rPr>
                <w:szCs w:val="24"/>
              </w:rPr>
            </w:pPr>
            <w:r>
              <w:rPr>
                <w:szCs w:val="24"/>
              </w:rPr>
              <w:t xml:space="preserve">Мярка 1 „Трансфер на знания и </w:t>
            </w:r>
            <w:r>
              <w:rPr>
                <w:szCs w:val="24"/>
              </w:rPr>
              <w:t>действия за осведомяване“</w:t>
            </w:r>
          </w:p>
          <w:p w:rsidR="002B3815" w:rsidRDefault="0099452B" w:rsidP="0099452B">
            <w:pPr>
              <w:numPr>
                <w:ilvl w:val="0"/>
                <w:numId w:val="87"/>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2B3815" w:rsidRDefault="0099452B" w:rsidP="0099452B">
            <w:pPr>
              <w:numPr>
                <w:ilvl w:val="0"/>
                <w:numId w:val="87"/>
              </w:numPr>
              <w:spacing w:before="0" w:after="0"/>
              <w:ind w:hanging="210"/>
              <w:jc w:val="left"/>
              <w:rPr>
                <w:szCs w:val="24"/>
              </w:rPr>
            </w:pPr>
            <w:r>
              <w:rPr>
                <w:szCs w:val="24"/>
              </w:rPr>
              <w:t>Мярка 4 „Инвестиции в материални активи“</w:t>
            </w:r>
          </w:p>
          <w:p w:rsidR="002B3815" w:rsidRDefault="0099452B" w:rsidP="0099452B">
            <w:pPr>
              <w:numPr>
                <w:ilvl w:val="0"/>
                <w:numId w:val="87"/>
              </w:numPr>
              <w:spacing w:before="0" w:after="0"/>
              <w:ind w:hanging="210"/>
              <w:jc w:val="left"/>
              <w:rPr>
                <w:szCs w:val="24"/>
              </w:rPr>
            </w:pPr>
            <w:r>
              <w:rPr>
                <w:szCs w:val="24"/>
              </w:rPr>
              <w:t xml:space="preserve">Мярка 8 „Инвестиции в развитие на горските райони и подобряване на жизнеспособността </w:t>
            </w:r>
            <w:r>
              <w:rPr>
                <w:szCs w:val="24"/>
              </w:rPr>
              <w:t>на горите“</w:t>
            </w:r>
          </w:p>
          <w:p w:rsidR="002B3815" w:rsidRDefault="0099452B" w:rsidP="0099452B">
            <w:pPr>
              <w:numPr>
                <w:ilvl w:val="0"/>
                <w:numId w:val="87"/>
              </w:numPr>
              <w:spacing w:before="0" w:after="0"/>
              <w:ind w:hanging="210"/>
              <w:jc w:val="left"/>
              <w:rPr>
                <w:szCs w:val="24"/>
              </w:rPr>
            </w:pPr>
            <w:r>
              <w:rPr>
                <w:szCs w:val="24"/>
              </w:rPr>
              <w:t>Мярка 10 „Агроекология и климат“</w:t>
            </w:r>
          </w:p>
          <w:p w:rsidR="002B3815" w:rsidRDefault="0099452B" w:rsidP="0099452B">
            <w:pPr>
              <w:numPr>
                <w:ilvl w:val="0"/>
                <w:numId w:val="87"/>
              </w:numPr>
              <w:spacing w:before="0" w:after="0"/>
              <w:ind w:hanging="210"/>
              <w:jc w:val="left"/>
              <w:rPr>
                <w:szCs w:val="24"/>
              </w:rPr>
            </w:pPr>
            <w:r>
              <w:rPr>
                <w:szCs w:val="24"/>
              </w:rPr>
              <w:t>Мярка 11 „Биологично земеделие“</w:t>
            </w:r>
          </w:p>
          <w:p w:rsidR="002B3815" w:rsidRDefault="0099452B" w:rsidP="0099452B">
            <w:pPr>
              <w:numPr>
                <w:ilvl w:val="0"/>
                <w:numId w:val="87"/>
              </w:numPr>
              <w:spacing w:before="0" w:after="0"/>
              <w:ind w:hanging="210"/>
              <w:jc w:val="left"/>
              <w:rPr>
                <w:szCs w:val="24"/>
              </w:rPr>
            </w:pPr>
            <w:r>
              <w:rPr>
                <w:szCs w:val="24"/>
              </w:rPr>
              <w:t>Мярка 12 „Плащания по Натура 2000 и Рамковата директива за водите“</w:t>
            </w:r>
          </w:p>
          <w:p w:rsidR="002B3815" w:rsidRDefault="0099452B" w:rsidP="0099452B">
            <w:pPr>
              <w:numPr>
                <w:ilvl w:val="0"/>
                <w:numId w:val="87"/>
              </w:numPr>
              <w:spacing w:before="0" w:after="0"/>
              <w:ind w:hanging="210"/>
              <w:jc w:val="left"/>
              <w:rPr>
                <w:szCs w:val="24"/>
              </w:rPr>
            </w:pPr>
            <w:r>
              <w:rPr>
                <w:szCs w:val="24"/>
              </w:rPr>
              <w:t>Мярка 13 „Плащания за райони, изправени пред природни или други специфични ограничения“</w:t>
            </w:r>
          </w:p>
          <w:p w:rsidR="002B3815" w:rsidRDefault="0099452B" w:rsidP="0099452B">
            <w:pPr>
              <w:numPr>
                <w:ilvl w:val="0"/>
                <w:numId w:val="87"/>
              </w:numPr>
              <w:spacing w:before="0" w:after="0"/>
              <w:ind w:hanging="210"/>
              <w:jc w:val="left"/>
              <w:rPr>
                <w:szCs w:val="24"/>
              </w:rPr>
            </w:pPr>
            <w:r>
              <w:rPr>
                <w:szCs w:val="24"/>
              </w:rPr>
              <w:t>Мярка 15 „Екологични услу</w:t>
            </w:r>
            <w:r>
              <w:rPr>
                <w:szCs w:val="24"/>
              </w:rPr>
              <w:t>ги и услуги във връзка с климата в горското стопанство и опазване на горите“</w:t>
            </w:r>
          </w:p>
          <w:p w:rsidR="002B3815" w:rsidRDefault="0099452B" w:rsidP="0099452B">
            <w:pPr>
              <w:numPr>
                <w:ilvl w:val="0"/>
                <w:numId w:val="87"/>
              </w:numPr>
              <w:spacing w:before="0" w:after="240"/>
              <w:ind w:hanging="210"/>
              <w:jc w:val="left"/>
              <w:rPr>
                <w:szCs w:val="24"/>
              </w:rPr>
            </w:pPr>
            <w:r>
              <w:rPr>
                <w:szCs w:val="24"/>
              </w:rPr>
              <w:t>Мярка 16 „Сътрудничество“</w:t>
            </w:r>
          </w:p>
          <w:p w:rsidR="002B3815" w:rsidRDefault="0099452B">
            <w:pPr>
              <w:spacing w:before="240" w:after="240"/>
              <w:jc w:val="left"/>
              <w:rPr>
                <w:szCs w:val="24"/>
              </w:rPr>
            </w:pPr>
            <w:r>
              <w:rPr>
                <w:szCs w:val="24"/>
              </w:rPr>
              <w:t>Процентът на земеделската земя, обхваната от договори за управление в подкрепа на биологичното разнообразие и/или ландшати в следствие на поети ангажимен</w:t>
            </w:r>
            <w:r>
              <w:rPr>
                <w:szCs w:val="24"/>
              </w:rPr>
              <w:t>ти към 31 декември 2018 г. възлиза на 13.60 % спрямо планираните 12 % въз основа на което е на лице преизпълнение на поставените цели по отношение на изпълнението на фокус областта.</w:t>
            </w:r>
          </w:p>
          <w:p w:rsidR="002B3815" w:rsidRDefault="0099452B">
            <w:pPr>
              <w:spacing w:before="240" w:after="240"/>
              <w:jc w:val="left"/>
              <w:rPr>
                <w:szCs w:val="24"/>
              </w:rPr>
            </w:pPr>
            <w:r>
              <w:rPr>
                <w:szCs w:val="24"/>
              </w:rPr>
              <w:t>Отчита се тенденция за активно участието на земеделските стопани в мерките</w:t>
            </w:r>
            <w:r>
              <w:rPr>
                <w:szCs w:val="24"/>
              </w:rPr>
              <w:t xml:space="preserve"> насочени към подобряването на компонентите на околната среда. Като цяло се наблюдава сравнително стабилна тенденция на увеличаване броя на земеделските стопани и подпомаганите площи по отделните мерки, което от своя страна има благоприятен ефект върху общ</w:t>
            </w:r>
            <w:r>
              <w:rPr>
                <w:szCs w:val="24"/>
              </w:rPr>
              <w:t>ата цел за устойчивото управление на природните ресурси.</w:t>
            </w:r>
          </w:p>
          <w:p w:rsidR="002B3815" w:rsidRDefault="0099452B">
            <w:pPr>
              <w:spacing w:before="240" w:after="240"/>
              <w:jc w:val="left"/>
              <w:rPr>
                <w:szCs w:val="24"/>
              </w:rPr>
            </w:pPr>
            <w:r>
              <w:rPr>
                <w:szCs w:val="24"/>
              </w:rPr>
              <w:t>От друга страна към 31 декември 2018 г. все още не е отбелязан напредък по отношение на горски или други залесени площи, обхваната от договори за управление в подкрепа на биологичното разнообразие и/</w:t>
            </w:r>
            <w:r>
              <w:rPr>
                <w:szCs w:val="24"/>
              </w:rPr>
              <w:t>или ландшати поради не приключила обработка на подадени заявления за кандидатстване по под мярка 8,3 на предвидените горски мерки в рамките на ПРСР във връзка със заложения индиктор в рамките на фокус областта. След приключване на предварителната оценка по</w:t>
            </w:r>
            <w:r>
              <w:rPr>
                <w:szCs w:val="24"/>
              </w:rPr>
              <w:t xml:space="preserve"> под мярка 8.3 са допуснати до оценка 15 проектни предложения на стойност 16 807 045 евро. Приоритет по този прием се дава за бенефициенти, които стопанистват по-големи площи. Към момента не може да се направи точен анализ на процента гори или други залесе</w:t>
            </w:r>
            <w:r>
              <w:rPr>
                <w:szCs w:val="24"/>
              </w:rPr>
              <w:t>ни райони, които ще бъдат подпомогнати с наличния бюджет. След окончателната обработка на проектите трябва да се направи анализ дали подпомогнатите площи удовлетворяват целевия показател за 2023 г.</w:t>
            </w:r>
          </w:p>
          <w:p w:rsidR="002B3815" w:rsidRDefault="002B3815">
            <w:pPr>
              <w:pStyle w:val="BodyText"/>
            </w:pPr>
          </w:p>
        </w:tc>
      </w:tr>
    </w:tbl>
    <w:p w:rsidR="002B3815" w:rsidRDefault="0099452B">
      <w:pPr>
        <w:pStyle w:val="Heading3"/>
        <w:jc w:val="left"/>
      </w:pPr>
      <w:bookmarkStart w:id="113" w:name="_Toc256000200"/>
      <w:bookmarkStart w:id="114" w:name="_Toc256000118"/>
      <w:bookmarkStart w:id="115" w:name="_Toc256000036"/>
      <w:r>
        <w:t xml:space="preserve">CEQ09-4B - До каква степен интервенциите по ПРСР са </w:t>
      </w:r>
      <w:r>
        <w:t>подпомогнали подобряването на управлението на водите, включително управлението на торовете и пестицидите?</w:t>
      </w:r>
      <w:bookmarkEnd w:id="113"/>
      <w:bookmarkEnd w:id="114"/>
      <w:bookmarkEnd w:id="115"/>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Планирания финансов ресурс в рамките на Приоритет 4 е в размер на 983 098 023 евро. ПРСР предвижда изпълнението на Област </w:t>
            </w:r>
            <w:r>
              <w:rPr>
                <w:szCs w:val="24"/>
              </w:rPr>
              <w:t>с поставен акцент 4Б от Приоритет 4 да се постигне посредством прилагането на следните мерки:</w:t>
            </w:r>
          </w:p>
          <w:p w:rsidR="002B3815" w:rsidRDefault="0099452B" w:rsidP="0099452B">
            <w:pPr>
              <w:numPr>
                <w:ilvl w:val="0"/>
                <w:numId w:val="88"/>
              </w:numPr>
              <w:spacing w:before="24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2B3815" w:rsidRDefault="0099452B" w:rsidP="0099452B">
            <w:pPr>
              <w:numPr>
                <w:ilvl w:val="0"/>
                <w:numId w:val="88"/>
              </w:numPr>
              <w:spacing w:before="0" w:after="0"/>
              <w:ind w:hanging="210"/>
              <w:jc w:val="left"/>
              <w:rPr>
                <w:szCs w:val="24"/>
              </w:rPr>
            </w:pPr>
            <w:r>
              <w:rPr>
                <w:szCs w:val="24"/>
              </w:rPr>
              <w:t>Мярка 10 „Агроекология и климат“</w:t>
            </w:r>
          </w:p>
          <w:p w:rsidR="002B3815" w:rsidRDefault="0099452B" w:rsidP="0099452B">
            <w:pPr>
              <w:numPr>
                <w:ilvl w:val="0"/>
                <w:numId w:val="88"/>
              </w:numPr>
              <w:spacing w:before="0" w:after="0"/>
              <w:ind w:hanging="210"/>
              <w:jc w:val="left"/>
              <w:rPr>
                <w:szCs w:val="24"/>
              </w:rPr>
            </w:pPr>
            <w:r>
              <w:rPr>
                <w:szCs w:val="24"/>
              </w:rPr>
              <w:t>Мярка 11 „Биологично земед</w:t>
            </w:r>
            <w:r>
              <w:rPr>
                <w:szCs w:val="24"/>
              </w:rPr>
              <w:t>елие“</w:t>
            </w:r>
          </w:p>
          <w:p w:rsidR="002B3815" w:rsidRDefault="0099452B" w:rsidP="0099452B">
            <w:pPr>
              <w:numPr>
                <w:ilvl w:val="0"/>
                <w:numId w:val="88"/>
              </w:numPr>
              <w:spacing w:before="0" w:after="0"/>
              <w:ind w:hanging="210"/>
              <w:jc w:val="left"/>
              <w:rPr>
                <w:szCs w:val="24"/>
              </w:rPr>
            </w:pPr>
            <w:r>
              <w:rPr>
                <w:szCs w:val="24"/>
              </w:rPr>
              <w:t>Мярка 12 „Плащания по Натура 2000 и Рамковата директива за водите“</w:t>
            </w:r>
          </w:p>
          <w:p w:rsidR="002B3815" w:rsidRDefault="0099452B" w:rsidP="0099452B">
            <w:pPr>
              <w:numPr>
                <w:ilvl w:val="0"/>
                <w:numId w:val="88"/>
              </w:numPr>
              <w:spacing w:before="0" w:after="240"/>
              <w:ind w:hanging="210"/>
              <w:jc w:val="left"/>
              <w:rPr>
                <w:szCs w:val="24"/>
              </w:rPr>
            </w:pPr>
            <w:r>
              <w:rPr>
                <w:szCs w:val="24"/>
              </w:rPr>
              <w:t>Мярка 13 „Плащания за райони, изправени пред природни или други специфични ограничения“</w:t>
            </w:r>
          </w:p>
          <w:p w:rsidR="002B3815" w:rsidRDefault="0099452B">
            <w:pPr>
              <w:spacing w:before="240" w:after="240"/>
              <w:jc w:val="left"/>
              <w:rPr>
                <w:szCs w:val="24"/>
              </w:rPr>
            </w:pPr>
            <w:r>
              <w:rPr>
                <w:szCs w:val="24"/>
              </w:rPr>
              <w:t xml:space="preserve">Показателят Т10 в следствие на поети ангажименти към 31 декември 2018 г. възлиза на 2,48 % </w:t>
            </w:r>
            <w:r>
              <w:rPr>
                <w:szCs w:val="24"/>
              </w:rPr>
              <w:t>спрямо планираните 2,52 % въз основа на което е на лице значително изпълнение на поставените цели по отношение на изпълнението на фокус областта.</w:t>
            </w:r>
          </w:p>
          <w:p w:rsidR="002B3815" w:rsidRDefault="0099452B">
            <w:pPr>
              <w:spacing w:before="240" w:after="240"/>
              <w:jc w:val="left"/>
              <w:rPr>
                <w:szCs w:val="24"/>
              </w:rPr>
            </w:pPr>
            <w:r>
              <w:rPr>
                <w:szCs w:val="24"/>
              </w:rPr>
              <w:t>Отчита се тенденция за активно участието на земеделските стопани в мерките насочени към подобряването на компо</w:t>
            </w:r>
            <w:r>
              <w:rPr>
                <w:szCs w:val="24"/>
              </w:rPr>
              <w:t>нентите на околната среда. Като цяло се наблюдава сравнително стабилна тенденция на увеличаване броя на земеделските стопани и подпомаганите площи по отделните мерки, което от своя страна има благоприятен ефект върху общата цел за устойчивото управление на</w:t>
            </w:r>
            <w:r>
              <w:rPr>
                <w:szCs w:val="24"/>
              </w:rPr>
              <w:t xml:space="preserve"> природните ресурси.</w:t>
            </w:r>
          </w:p>
          <w:p w:rsidR="002B3815" w:rsidRDefault="0099452B">
            <w:pPr>
              <w:spacing w:before="240" w:after="240"/>
              <w:jc w:val="left"/>
              <w:rPr>
                <w:szCs w:val="24"/>
              </w:rPr>
            </w:pPr>
            <w:r>
              <w:rPr>
                <w:szCs w:val="24"/>
              </w:rPr>
              <w:t>С оглед посочените данни и постигнатите целеви показатели считаме, че ПРСР 2014-2020 година оказва пряко влияние по отношение за земеделските площи във връзка с подобряване качеството на водите.</w:t>
            </w:r>
          </w:p>
          <w:p w:rsidR="002B3815" w:rsidRDefault="002B3815">
            <w:pPr>
              <w:pStyle w:val="BodyText"/>
            </w:pPr>
          </w:p>
        </w:tc>
      </w:tr>
    </w:tbl>
    <w:p w:rsidR="002B3815" w:rsidRDefault="0099452B">
      <w:pPr>
        <w:pStyle w:val="Heading3"/>
        <w:jc w:val="left"/>
      </w:pPr>
      <w:bookmarkStart w:id="116" w:name="_Toc256000201"/>
      <w:bookmarkStart w:id="117" w:name="_Toc256000119"/>
      <w:bookmarkStart w:id="118" w:name="_Toc256000037"/>
      <w:r>
        <w:t>CEQ10-4C - До каква степен интервенции</w:t>
      </w:r>
      <w:r>
        <w:t>те по ПРСР са подпомогнали предотвратяването на почвената ерозия и подобряването на управлението на почвите?</w:t>
      </w:r>
      <w:bookmarkEnd w:id="116"/>
      <w:bookmarkEnd w:id="117"/>
      <w:bookmarkEnd w:id="118"/>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По отношение на органичното съдържание за всяка категория земеползване, пасищата регистрират най-голямото съдържание на</w:t>
            </w:r>
            <w:r>
              <w:rPr>
                <w:szCs w:val="24"/>
              </w:rPr>
              <w:t xml:space="preserve"> органичен въглерод в обработваемата земя на ЕС-27 с 9 019 мегатона, докато трайните насаждения имат най-малка стойност.</w:t>
            </w:r>
            <w:r>
              <w:rPr>
                <w:szCs w:val="24"/>
              </w:rPr>
              <w:br/>
              <w:t xml:space="preserve">Преобладаването на пасищата по отношение на съдържание на органичен въглерод в сравнение с другите видове земеползване се наблюдава по </w:t>
            </w:r>
            <w:r>
              <w:rPr>
                <w:szCs w:val="24"/>
              </w:rPr>
              <w:t>принцип във всички държави-членки, с няколко изключения: Кипър (91%), България (83%) и Румъния (65%) обработваемата земя има всъщност най-голямото съдържание на органичен въглерод.</w:t>
            </w:r>
          </w:p>
          <w:p w:rsidR="002B3815" w:rsidRDefault="0099452B">
            <w:pPr>
              <w:spacing w:before="240" w:after="240"/>
              <w:jc w:val="left"/>
              <w:rPr>
                <w:szCs w:val="24"/>
              </w:rPr>
            </w:pPr>
            <w:r>
              <w:rPr>
                <w:szCs w:val="24"/>
              </w:rPr>
              <w:t>Средната стойност на показателя за България за периода 2015-2017 година е 1</w:t>
            </w:r>
            <w:r>
              <w:rPr>
                <w:szCs w:val="24"/>
              </w:rPr>
              <w:t xml:space="preserve">7,12 g/kg. Наблюдава се намаление на показателя в някои от годините, включени в анализа. Това се дължи на броя пунктове, които се включват в оценката. Оценката се извършва само с част от пунктовете на територията на страната и на четири години се оценяват </w:t>
            </w:r>
            <w:r>
              <w:rPr>
                <w:szCs w:val="24"/>
              </w:rPr>
              <w:t>всички пунктове в страната. В годините, в които е правена оценка, включваща всички пунктове и по-точно 2010 и 2016 г. показателят показва изменение с -0,24 g/kg.</w:t>
            </w:r>
          </w:p>
          <w:p w:rsidR="002B3815" w:rsidRDefault="0099452B">
            <w:pPr>
              <w:spacing w:before="240" w:after="240"/>
              <w:jc w:val="left"/>
              <w:rPr>
                <w:szCs w:val="24"/>
              </w:rPr>
            </w:pPr>
            <w:r>
              <w:rPr>
                <w:szCs w:val="24"/>
              </w:rPr>
              <w:t>По отношение на показателят за ерозия на почвите, причинена от вода не може да се установи при</w:t>
            </w:r>
            <w:r>
              <w:rPr>
                <w:szCs w:val="24"/>
              </w:rPr>
              <w:t>нос на ПРСР 2014 -2020, поради това, че наличните данни са към 2012 г.</w:t>
            </w:r>
          </w:p>
          <w:p w:rsidR="002B3815" w:rsidRDefault="002B3815">
            <w:pPr>
              <w:pStyle w:val="BodyText"/>
            </w:pPr>
          </w:p>
        </w:tc>
      </w:tr>
    </w:tbl>
    <w:p w:rsidR="002B3815" w:rsidRDefault="0099452B">
      <w:pPr>
        <w:pStyle w:val="Heading3"/>
        <w:jc w:val="left"/>
      </w:pPr>
      <w:bookmarkStart w:id="119" w:name="_Toc256000202"/>
      <w:bookmarkStart w:id="120" w:name="_Toc256000120"/>
      <w:bookmarkStart w:id="121" w:name="_Toc256000038"/>
      <w:r>
        <w:t>CEQ11-5A - До каква степен интервенциите по ПРСР са допринесли за повишаване на ефективността при потреблението на вода в селското стопанство?</w:t>
      </w:r>
      <w:bookmarkEnd w:id="119"/>
      <w:bookmarkEnd w:id="120"/>
      <w:bookmarkEnd w:id="121"/>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Анализът на </w:t>
            </w:r>
            <w:r>
              <w:rPr>
                <w:szCs w:val="24"/>
              </w:rPr>
              <w:t>данните сочи, че по фокус област 5 А не е осъществен напредък. Идентифиран е проблемът и са предприети действия за минимизиране на риска, както следва:</w:t>
            </w:r>
          </w:p>
          <w:p w:rsidR="002B3815" w:rsidRDefault="0099452B">
            <w:pPr>
              <w:spacing w:before="240" w:after="240"/>
              <w:jc w:val="left"/>
              <w:rPr>
                <w:szCs w:val="24"/>
              </w:rPr>
            </w:pPr>
            <w:r>
              <w:rPr>
                <w:szCs w:val="24"/>
              </w:rPr>
              <w:t>С четвъртото изменение на ПРСР 2014-2020 г. е въведена нова под мярка 4.3, която дава възможност за коле</w:t>
            </w:r>
            <w:r>
              <w:rPr>
                <w:szCs w:val="24"/>
              </w:rPr>
              <w:t>ктивни инвестиции в напоителни системи извън стопанствата. Бюджетът на под мярката е 50 465 860 евро.</w:t>
            </w:r>
          </w:p>
          <w:p w:rsidR="002B3815" w:rsidRDefault="0099452B">
            <w:pPr>
              <w:spacing w:before="240" w:after="240"/>
              <w:jc w:val="left"/>
              <w:rPr>
                <w:szCs w:val="24"/>
              </w:rPr>
            </w:pPr>
            <w:r>
              <w:rPr>
                <w:szCs w:val="24"/>
              </w:rPr>
              <w:t>Чрез прилагане на подмярка 4.3 се цели инвестициите във водоразпределителната мрежа, да бъдат съсредоточени върху възстановяването и модернизацията на същ</w:t>
            </w:r>
            <w:r>
              <w:rPr>
                <w:szCs w:val="24"/>
              </w:rPr>
              <w:t>ествуващата инфраструктура по начин, който съчетава по-систематичен подход при пренос, разпределение и доставка на водата. Водещ принцип при подпомагане на развитието на напоителната инфраструктура ще бъде разбирането, че инвестициите трябва да се насочват</w:t>
            </w:r>
            <w:r>
              <w:rPr>
                <w:szCs w:val="24"/>
              </w:rPr>
              <w:t xml:space="preserve"> в подобряване на съществуващи инсталации, елементи от инфраструктурата и техники, съответстващи на земеползването и заобикалящата водна среда. От съществено значение за постигане на целта е да бъдат подпомогнати по-висок процент площи, което може да бъде </w:t>
            </w:r>
            <w:r>
              <w:rPr>
                <w:szCs w:val="24"/>
              </w:rPr>
              <w:t>заложено като приоритет при стартиране на под мярката.</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Следва да се има предвид, че при проведения първи прием по под мярка 4.1 дейностите в напоителни съоръжения не бяха допустими, което бе обосновано с липсата на планове за управление на речните басейн</w:t>
            </w:r>
            <w:r>
              <w:rPr>
                <w:szCs w:val="24"/>
              </w:rPr>
              <w:t>и. През проведеният втори прием по под мярка 4.1 са постъпили проекти с инвестиции за напоителни съоръжения в размер на 5 745 739 евро, от които към 31.12.2018 г. са реализирани 7 проекта на стойност 657 493 евро.</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Предвид минималното усвояване по тази ФО</w:t>
            </w:r>
            <w:r>
              <w:rPr>
                <w:szCs w:val="24"/>
              </w:rPr>
              <w:t xml:space="preserve"> не може да бъде направен анализ на въздействието на ПРСР за повишаване на ефективността при потреблението на вода в селското стопанство.</w:t>
            </w:r>
          </w:p>
          <w:p w:rsidR="002B3815" w:rsidRDefault="002B3815">
            <w:pPr>
              <w:pStyle w:val="BodyText"/>
            </w:pPr>
          </w:p>
        </w:tc>
      </w:tr>
    </w:tbl>
    <w:p w:rsidR="002B3815" w:rsidRDefault="0099452B">
      <w:pPr>
        <w:pStyle w:val="Heading3"/>
        <w:jc w:val="left"/>
      </w:pPr>
      <w:bookmarkStart w:id="122" w:name="_Toc256000203"/>
      <w:bookmarkStart w:id="123" w:name="_Toc256000121"/>
      <w:bookmarkStart w:id="124" w:name="_Toc256000039"/>
      <w:r>
        <w:t>CEQ12-5B - До каква степен интервенциите по ПРСР са допринесли за повишаване на ефективността при потреблението на е</w:t>
      </w:r>
      <w:r>
        <w:t>нергия в селското стопанство и преработката на храни?</w:t>
      </w:r>
      <w:bookmarkEnd w:id="122"/>
      <w:bookmarkEnd w:id="123"/>
      <w:bookmarkEnd w:id="124"/>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За ФО 5В са предвидени 216 674 111 евро. Към 31.12.2018 г. са реализирани едва 3,58 % от заложените по приоритетната ос. Неизпълнението се дължи на неизпълнение по под мярка </w:t>
            </w:r>
            <w:r>
              <w:rPr>
                <w:szCs w:val="24"/>
              </w:rPr>
              <w:t>4.1, 4.2 и М16, М01.  Малкото отнесени към ФО 5В реализирани проекти води до невъзможност да бъде направен извод как ПРСР допринася за увеличаване на енергийната ефективност в подпомогнатите бенефициенти. Отговор на въпроса може да бъде изведен след събира</w:t>
            </w:r>
            <w:r>
              <w:rPr>
                <w:szCs w:val="24"/>
              </w:rPr>
              <w:t xml:space="preserve">не на данни, налични в сертификатите за енергийна ефективност, които данни могат да бъдат получени не по-рано една година след реализиране на инвестиционните намерения. Считаме, че приносът на под мярка 4.1 и 4.2 за ФО 5В е значително по-голяма като поети </w:t>
            </w:r>
            <w:r>
              <w:rPr>
                <w:szCs w:val="24"/>
              </w:rPr>
              <w:t>ангажименти, от колкото са отнесени към 31.12.2018 г., с което препоръчваме да бъде прецизирано отнасянето на съответните разходи към тази ФО.</w:t>
            </w:r>
          </w:p>
          <w:p w:rsidR="002B3815" w:rsidRDefault="002B3815">
            <w:pPr>
              <w:pStyle w:val="BodyText"/>
            </w:pPr>
          </w:p>
        </w:tc>
      </w:tr>
    </w:tbl>
    <w:p w:rsidR="002B3815" w:rsidRDefault="0099452B">
      <w:pPr>
        <w:pStyle w:val="Heading3"/>
        <w:jc w:val="left"/>
      </w:pPr>
      <w:bookmarkStart w:id="125" w:name="_Toc256000204"/>
      <w:bookmarkStart w:id="126" w:name="_Toc256000122"/>
      <w:bookmarkStart w:id="127" w:name="_Toc256000040"/>
      <w:r>
        <w:t>CEQ13-5C - До каква степен интервенциите по ПРСР са допринесли за доставките и използването на възобновяеми изт</w:t>
      </w:r>
      <w:r>
        <w:t>очници на енергия, на странични продукти, отпадъци, остатъци и други нехранителни суровини за целите на биоикономиката?</w:t>
      </w:r>
      <w:bookmarkEnd w:id="125"/>
      <w:bookmarkEnd w:id="126"/>
      <w:bookmarkEnd w:id="127"/>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Анализираните данни сочат, че така програмирани във ФО показателите няма как да бъдат достигнати. Следва да </w:t>
            </w:r>
            <w:r>
              <w:rPr>
                <w:szCs w:val="24"/>
              </w:rPr>
              <w:t>се прецезират заложените цели за 2023 г. по ФО по отношение на показателите за изпълнение и целевия показател. Следва да прецезират заложените като цел за 2023 г. общо публични разходи по М04, М07 и да се обмисли възможността към ФО да бъдат отнесени и раз</w:t>
            </w:r>
            <w:r>
              <w:rPr>
                <w:szCs w:val="24"/>
              </w:rPr>
              <w:t>ходи, реализирани по под мярка 4.2, т.к в голяма част от проектните предложения има заложени разходи за производство на енергия от възобновяеми източници и реално ПРСР 2014-2020 допринася в голяма степен за повишаването на производството на енергия от възо</w:t>
            </w:r>
            <w:r>
              <w:rPr>
                <w:szCs w:val="24"/>
              </w:rPr>
              <w:t>бновяеми източници, но това не може да бъде отчетено чрез така заложените цели и отнасяне на разходи по ФО.</w:t>
            </w:r>
          </w:p>
          <w:p w:rsidR="002B3815" w:rsidRDefault="002B3815">
            <w:pPr>
              <w:pStyle w:val="BodyText"/>
            </w:pPr>
          </w:p>
        </w:tc>
      </w:tr>
    </w:tbl>
    <w:p w:rsidR="002B3815" w:rsidRDefault="0099452B">
      <w:pPr>
        <w:pStyle w:val="Heading3"/>
        <w:jc w:val="left"/>
      </w:pPr>
      <w:bookmarkStart w:id="128" w:name="_Toc256000205"/>
      <w:bookmarkStart w:id="129" w:name="_Toc256000123"/>
      <w:bookmarkStart w:id="130" w:name="_Toc256000041"/>
      <w:r>
        <w:t>CEQ14-5D - До каква степен интервенциите по ПРСР са допринесли за намаляване на емисиите на парникови газове и на амоняк от селското стопанство?</w:t>
      </w:r>
      <w:bookmarkEnd w:id="128"/>
      <w:bookmarkEnd w:id="129"/>
      <w:bookmarkEnd w:id="130"/>
    </w:p>
    <w:p w:rsidR="002B3815" w:rsidRDefault="0099452B">
      <w:pPr>
        <w:pStyle w:val="Heading4"/>
        <w:jc w:val="left"/>
      </w:pPr>
      <w:r>
        <w:t>О</w:t>
      </w:r>
      <w:r>
        <w:t>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Планирания финансов ресурс в рамките на фокус област 5Б е в размер на 59 841 250 евро. Към 31 декември 2018 г. е отбелязан напредък по отношение на намаляване на емисиите на парникови газове и на амоняк от селското стопанство в р</w:t>
            </w:r>
            <w:r>
              <w:rPr>
                <w:szCs w:val="24"/>
              </w:rPr>
              <w:t>езултат на изпълнението на подмярка 2.1 и  мярка 10 „Агроекология и климат“.</w:t>
            </w:r>
          </w:p>
          <w:p w:rsidR="002B3815" w:rsidRDefault="0099452B">
            <w:pPr>
              <w:spacing w:before="240" w:after="240"/>
              <w:jc w:val="left"/>
              <w:rPr>
                <w:szCs w:val="24"/>
              </w:rPr>
            </w:pPr>
            <w:r>
              <w:rPr>
                <w:szCs w:val="24"/>
              </w:rPr>
              <w:t xml:space="preserve">В рамките на мярка 10 „Агрокеология и климат“ са поети ангажименти на стойност 28026114 евро в рамките на съответната фокус област.  Процентът на земеделска земя, обхваната от </w:t>
            </w:r>
            <w:r>
              <w:rPr>
                <w:szCs w:val="24"/>
              </w:rPr>
              <w:t>договори за управление за намаляване на емисиите на парникови газове и/или амоняк възлиза на 0.02 % при планирани 0.16 % на база реализирани проекти. Предвид поетите ангажименти се очаква този показател да бъде преизпълнен. Към 31.12.2018 г. покритата площ</w:t>
            </w:r>
            <w:r>
              <w:rPr>
                <w:szCs w:val="24"/>
              </w:rPr>
              <w:t xml:space="preserve"> възлиза на 29 894 ха, което многократно надхвърля заложените нива като цел. От друга страна подпомогнатите ЖЕ не могат да достигнат планираната цел.</w:t>
            </w:r>
          </w:p>
          <w:p w:rsidR="002B3815" w:rsidRDefault="0099452B">
            <w:pPr>
              <w:spacing w:before="240" w:after="240"/>
              <w:jc w:val="left"/>
              <w:rPr>
                <w:szCs w:val="24"/>
              </w:rPr>
            </w:pPr>
            <w:r>
              <w:rPr>
                <w:szCs w:val="24"/>
              </w:rPr>
              <w:t>Също така в рамките на подмярка 4.1 „Инвестиции в земеделски стопанства“ са поети ангжименти на стойност 1</w:t>
            </w:r>
            <w:r>
              <w:rPr>
                <w:szCs w:val="24"/>
              </w:rPr>
              <w:t>787076 евро за инвестиции, допринасящи за постигане на ефект в съответната фокус област, което представлява 4.8 % спрямо заложената стойност по подмярката.</w:t>
            </w:r>
          </w:p>
          <w:p w:rsidR="002B3815" w:rsidRDefault="0099452B">
            <w:pPr>
              <w:spacing w:before="240" w:after="240"/>
              <w:jc w:val="left"/>
              <w:rPr>
                <w:szCs w:val="24"/>
              </w:rPr>
            </w:pPr>
            <w:r>
              <w:rPr>
                <w:szCs w:val="24"/>
              </w:rPr>
              <w:t xml:space="preserve">Въз основа на изпълняваните агроекологични ангажименти по мярка 10 и обхванатия процент на </w:t>
            </w:r>
            <w:r>
              <w:rPr>
                <w:szCs w:val="24"/>
              </w:rPr>
              <w:t>земеделска земя може да се направи извод, че е отбелязан съществен напредък по отношение на намаляване на емисиите на парникови газове и на амоняк от селското стопанство.</w:t>
            </w:r>
          </w:p>
          <w:p w:rsidR="002B3815" w:rsidRDefault="0099452B">
            <w:pPr>
              <w:spacing w:before="240" w:after="240"/>
              <w:jc w:val="left"/>
              <w:rPr>
                <w:szCs w:val="24"/>
              </w:rPr>
            </w:pPr>
            <w:r>
              <w:rPr>
                <w:szCs w:val="24"/>
              </w:rPr>
              <w:t>Следва да се прецезира показателя за 2023 г. по отношение на процент на ЖЕ и общо пуб</w:t>
            </w:r>
            <w:r>
              <w:rPr>
                <w:szCs w:val="24"/>
              </w:rPr>
              <w:t>лични разходи, специално по М04.</w:t>
            </w:r>
          </w:p>
          <w:p w:rsidR="002B3815" w:rsidRDefault="002B3815">
            <w:pPr>
              <w:pStyle w:val="BodyText"/>
            </w:pPr>
          </w:p>
        </w:tc>
      </w:tr>
    </w:tbl>
    <w:p w:rsidR="002B3815" w:rsidRDefault="0099452B">
      <w:pPr>
        <w:pStyle w:val="Heading3"/>
        <w:jc w:val="left"/>
      </w:pPr>
      <w:bookmarkStart w:id="131" w:name="_Toc256000206"/>
      <w:bookmarkStart w:id="132" w:name="_Toc256000124"/>
      <w:bookmarkStart w:id="133" w:name="_Toc256000042"/>
      <w:r>
        <w:t>CEQ15-5E - До каква степен интервенциите по ПРСР са подпомогнали съхраняването и поглъщането на въглерода в секторите на селското и горското стопанство?</w:t>
      </w:r>
      <w:bookmarkEnd w:id="131"/>
      <w:bookmarkEnd w:id="132"/>
      <w:bookmarkEnd w:id="133"/>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Към 31.12.2018 г. са преизпълнени показа</w:t>
            </w:r>
            <w:r>
              <w:rPr>
                <w:szCs w:val="24"/>
              </w:rPr>
              <w:t>телите по М02.</w:t>
            </w:r>
          </w:p>
          <w:p w:rsidR="002B3815" w:rsidRDefault="0099452B">
            <w:pPr>
              <w:spacing w:before="240" w:after="240"/>
              <w:jc w:val="left"/>
              <w:rPr>
                <w:szCs w:val="24"/>
              </w:rPr>
            </w:pPr>
            <w:r>
              <w:rPr>
                <w:szCs w:val="24"/>
              </w:rPr>
              <w:t>По под мярка 8.4 е проведен прием с общ бюджет 8 000 000 евро, което е и заложеното по тази ФО.</w:t>
            </w:r>
          </w:p>
          <w:p w:rsidR="002B3815" w:rsidRDefault="0099452B">
            <w:pPr>
              <w:spacing w:before="240" w:after="240"/>
              <w:jc w:val="left"/>
              <w:rPr>
                <w:szCs w:val="24"/>
              </w:rPr>
            </w:pPr>
            <w:r>
              <w:rPr>
                <w:szCs w:val="24"/>
              </w:rPr>
              <w:t>Останалите под мерки по М08, насочени към изпълнението на фокус област 5Д не са стартирани към 31 декември 2018 г. поради което не е реализиран н</w:t>
            </w:r>
            <w:r>
              <w:rPr>
                <w:szCs w:val="24"/>
              </w:rPr>
              <w:t>апредък по отношение на съхраняването и поглъщането на въглерода в секторите на селското и горското стопанство.</w:t>
            </w:r>
          </w:p>
          <w:p w:rsidR="002B3815" w:rsidRDefault="002B3815">
            <w:pPr>
              <w:pStyle w:val="BodyText"/>
            </w:pPr>
          </w:p>
        </w:tc>
      </w:tr>
    </w:tbl>
    <w:p w:rsidR="002B3815" w:rsidRDefault="0099452B">
      <w:pPr>
        <w:pStyle w:val="Heading3"/>
        <w:jc w:val="left"/>
      </w:pPr>
      <w:bookmarkStart w:id="134" w:name="_Toc256000207"/>
      <w:bookmarkStart w:id="135" w:name="_Toc256000125"/>
      <w:bookmarkStart w:id="136" w:name="_Toc256000043"/>
      <w:r>
        <w:t>CEQ16-6A - До каква степен интервенциите по ПРСР са подпомогнали диверсификацията, създаването и развитието на малки предприятия и създаване н</w:t>
      </w:r>
      <w:r>
        <w:t>а работни места?</w:t>
      </w:r>
      <w:bookmarkEnd w:id="134"/>
      <w:bookmarkEnd w:id="135"/>
      <w:bookmarkEnd w:id="136"/>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Към 31.12.2018 г. по под мярка 6.4 е проведен прием, чиято оценка не е приключила. Отделно са проведени приеми, по които не са приключили оценките към Стратегиите за местно развитие. Към целевия показател Т20 се</w:t>
            </w:r>
            <w:r>
              <w:rPr>
                <w:szCs w:val="24"/>
              </w:rPr>
              <w:t xml:space="preserve"> отнасят и разкритите работни места по завършени операции по под мярка 4.2.</w:t>
            </w:r>
          </w:p>
          <w:p w:rsidR="002B3815" w:rsidRDefault="0099452B">
            <w:pPr>
              <w:spacing w:before="240" w:after="240"/>
              <w:jc w:val="left"/>
              <w:rPr>
                <w:szCs w:val="24"/>
              </w:rPr>
            </w:pPr>
            <w:r>
              <w:rPr>
                <w:szCs w:val="24"/>
              </w:rPr>
              <w:t>Следва да се има предвид, че един от приоритетите по под мярка 6.4 е създаване и запазване на съществуващи на работни места, което ще се отрази върху показателя.</w:t>
            </w:r>
          </w:p>
          <w:p w:rsidR="002B3815" w:rsidRDefault="002B3815">
            <w:pPr>
              <w:pStyle w:val="BodyText"/>
            </w:pPr>
          </w:p>
        </w:tc>
      </w:tr>
    </w:tbl>
    <w:p w:rsidR="002B3815" w:rsidRDefault="0099452B">
      <w:pPr>
        <w:pStyle w:val="Heading3"/>
        <w:jc w:val="left"/>
      </w:pPr>
      <w:bookmarkStart w:id="137" w:name="_Toc256000208"/>
      <w:bookmarkStart w:id="138" w:name="_Toc256000126"/>
      <w:bookmarkStart w:id="139" w:name="_Toc256000044"/>
      <w:r>
        <w:t xml:space="preserve">CEQ17-6B - До </w:t>
      </w:r>
      <w:r>
        <w:t>каква степен интервенциите по ПРСР са подпомогнали местното развитие в селските райони?</w:t>
      </w:r>
      <w:bookmarkEnd w:id="137"/>
      <w:bookmarkEnd w:id="138"/>
      <w:bookmarkEnd w:id="139"/>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Интервенциите по ПО 6Б целят да укрепят териториалната конкурентоспособност на селските територии чрез подобряване на качеството на живот и </w:t>
            </w:r>
            <w:r>
              <w:rPr>
                <w:szCs w:val="24"/>
              </w:rPr>
              <w:t>условията за бизнес.  По ПО 6Б са програмирани две групи интервенции. 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w:t>
            </w:r>
            <w:r>
              <w:rPr>
                <w:szCs w:val="24"/>
              </w:rPr>
              <w:t>вот и достъпа до услуги на 1 995 хил. жители на селските райони. Програмата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w:t>
            </w:r>
            <w:r>
              <w:rPr>
                <w:szCs w:val="24"/>
              </w:rPr>
              <w:t>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w:t>
            </w:r>
            <w:r>
              <w:rPr>
                <w:szCs w:val="24"/>
              </w:rPr>
              <w:t xml:space="preserve"> на мерките. 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w:t>
            </w:r>
            <w:r>
              <w:rPr>
                <w:szCs w:val="24"/>
              </w:rPr>
              <w:t>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w:t>
            </w:r>
            <w:r>
              <w:rPr>
                <w:szCs w:val="24"/>
              </w:rPr>
              <w:t>ициативи за изграждане на капацитет и подготовка на местни стратегии за развитие. По Програмата беше предвидено финансиране изпълнението на местни стратегии за развитие на 60 МИГ, обхващащи 48% от населението на селските райони по националната дефиниция, к</w:t>
            </w:r>
            <w:r>
              <w:rPr>
                <w:szCs w:val="24"/>
              </w:rPr>
              <w:t>ато към 31.12.2018 г. одобрените за финансиране местни инициативни групи са 64 и обхващат 62 % от населението на територията на селските райони.</w:t>
            </w:r>
          </w:p>
          <w:p w:rsidR="002B3815" w:rsidRDefault="0099452B">
            <w:pPr>
              <w:spacing w:before="240" w:after="240"/>
              <w:jc w:val="left"/>
              <w:rPr>
                <w:szCs w:val="24"/>
              </w:rPr>
            </w:pPr>
            <w:r>
              <w:rPr>
                <w:szCs w:val="24"/>
              </w:rPr>
              <w:t>ПО 6Б цели укрепване на териториалната конкурентоспособност на селските територии чрез публични инвестиции подо</w:t>
            </w:r>
            <w:r>
              <w:rPr>
                <w:szCs w:val="24"/>
              </w:rPr>
              <w:t xml:space="preserve">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815,15 млн. евро </w:t>
            </w:r>
            <w:r>
              <w:rPr>
                <w:szCs w:val="24"/>
              </w:rPr>
              <w:t>по ПРСР.</w:t>
            </w:r>
          </w:p>
          <w:p w:rsidR="002B3815" w:rsidRDefault="0099452B">
            <w:pPr>
              <w:spacing w:before="240" w:after="240"/>
              <w:jc w:val="left"/>
              <w:rPr>
                <w:szCs w:val="24"/>
              </w:rPr>
            </w:pPr>
            <w:r>
              <w:rPr>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w:t>
            </w:r>
            <w:r>
              <w:rPr>
                <w:szCs w:val="24"/>
              </w:rPr>
              <w:t>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rsidR="002B3815" w:rsidRDefault="0099452B">
            <w:pPr>
              <w:spacing w:before="240" w:after="240"/>
              <w:jc w:val="left"/>
              <w:rPr>
                <w:szCs w:val="24"/>
              </w:rPr>
            </w:pPr>
            <w:r>
              <w:rPr>
                <w:szCs w:val="24"/>
              </w:rPr>
              <w:t>Втората група мерки е създаване и укрепване на местен капацитет за устойчиво раз</w:t>
            </w:r>
            <w:r>
              <w:rPr>
                <w:szCs w:val="24"/>
              </w:rPr>
              <w:t>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w:t>
            </w:r>
            <w:r>
              <w:rPr>
                <w:szCs w:val="24"/>
              </w:rPr>
              <w:t>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w:t>
            </w:r>
            <w:r>
              <w:rPr>
                <w:szCs w:val="24"/>
              </w:rPr>
              <w:t>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w:t>
            </w:r>
            <w:r>
              <w:rPr>
                <w:szCs w:val="24"/>
              </w:rPr>
              <w:t>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131,5 млн. евро.</w:t>
            </w:r>
          </w:p>
          <w:p w:rsidR="002B3815" w:rsidRDefault="0099452B">
            <w:pPr>
              <w:spacing w:before="240" w:after="240"/>
              <w:jc w:val="left"/>
              <w:rPr>
                <w:szCs w:val="24"/>
              </w:rPr>
            </w:pPr>
            <w:r>
              <w:rPr>
                <w:szCs w:val="24"/>
              </w:rPr>
              <w:t xml:space="preserve">Мерките по ПО 6Б ще окажат подкрепа и за хората, в най-голям риск от </w:t>
            </w:r>
            <w:r>
              <w:rPr>
                <w:szCs w:val="24"/>
              </w:rPr>
              <w:t>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w:t>
            </w:r>
            <w:r>
              <w:rPr>
                <w:szCs w:val="24"/>
              </w:rPr>
              <w:t>а отстраняване на причините на бедността и социалното изключване.</w:t>
            </w:r>
          </w:p>
          <w:p w:rsidR="002B3815" w:rsidRDefault="0099452B">
            <w:pPr>
              <w:spacing w:before="240" w:after="240"/>
              <w:jc w:val="left"/>
              <w:rPr>
                <w:szCs w:val="24"/>
              </w:rPr>
            </w:pPr>
            <w:r>
              <w:rPr>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w:t>
            </w:r>
            <w:r>
              <w:rPr>
                <w:szCs w:val="24"/>
              </w:rPr>
              <w:t xml:space="preserve"> опазване на околната среда и насърчаване на ресурсната ефективност, вкл. обучения и консултантска помощ за околна среда и климат.</w:t>
            </w:r>
          </w:p>
          <w:p w:rsidR="002B3815" w:rsidRDefault="0099452B">
            <w:pPr>
              <w:spacing w:before="240" w:after="240"/>
              <w:jc w:val="left"/>
              <w:rPr>
                <w:szCs w:val="24"/>
              </w:rPr>
            </w:pPr>
            <w:r>
              <w:rPr>
                <w:szCs w:val="24"/>
              </w:rPr>
              <w:t>Поставената към 2023 г. цел по отношение броя на операциите, подпомогнати с цел подобряване на основни услуги и инфраструктур</w:t>
            </w:r>
            <w:r>
              <w:rPr>
                <w:szCs w:val="24"/>
              </w:rPr>
              <w:t>а в селски райони (области с поставен акцент 6Б и 6В) е 939 бр., като към 31.12.2019 г. броя на операциите по област с поставен акцент 6 В са  29 бр., а цялостното изпълнение по двете области с поставени акценти е в размер на 18 %. Предвид броя сключени до</w:t>
            </w:r>
            <w:r>
              <w:rPr>
                <w:szCs w:val="24"/>
              </w:rPr>
              <w:t>говори по мярка 07 през периода 2015-2018 г. – 416 бр. и броя договори, които предстои да бъдат сключени през 2019 г. от приключилия през 2018 г. прием по подмярка 7.2, то изпълнението на поставената за програмния период цел не изглежда поставена под риск.</w:t>
            </w:r>
            <w:r>
              <w:rPr>
                <w:szCs w:val="24"/>
              </w:rPr>
              <w:t xml:space="preserve"> Следва да се отчете и факта че забавянето на реализацията на проектите е свързано основно с обжалвания при провеждане на процедурите за избор на изпълнител по Закона за обществените поръчки, след преодоляването на което се наблюдава изпълнение на проекти </w:t>
            </w:r>
            <w:r>
              <w:rPr>
                <w:szCs w:val="24"/>
              </w:rPr>
              <w:t xml:space="preserve">в срок. По отношение планираните към края на програмния период публични разходи следва да се отбележи, че към края на 2018 г. договорените средства по мярка 07 са в размер на 447 799 194,48 евро, което е повече от 50 % от планиратото за постигане към края </w:t>
            </w:r>
            <w:r>
              <w:rPr>
                <w:szCs w:val="24"/>
              </w:rPr>
              <w:t>на 2023 г., като към тази сума не са отчетени средствата, които ще бъдат разходени по операции, подпомогнати с цел подобряване на основни услуги и инфраструктура с поставен акцент 6 Б, финансирани по мярка 19 посредством стратегиите за местно развитие, тъй</w:t>
            </w:r>
            <w:r>
              <w:rPr>
                <w:szCs w:val="24"/>
              </w:rPr>
              <w:t xml:space="preserve"> като до момента не са налице подписани договори. По отношение броя на жителите, които ще се възползват е необходимо да се обърне внимание на факта, че към края на 2018 г. почти всички общини от селски райони са подали заявления за подпомагане  по ПРСР 201</w:t>
            </w:r>
            <w:r>
              <w:rPr>
                <w:szCs w:val="24"/>
              </w:rPr>
              <w:t>4-2020 г. от което следва че процентът на населението, което ще се възползва от подобрени услуги/инфраструктура ще бъде значителен към края на програмния период.</w:t>
            </w:r>
          </w:p>
          <w:p w:rsidR="002B3815" w:rsidRDefault="0099452B">
            <w:pPr>
              <w:spacing w:before="240" w:after="240"/>
              <w:jc w:val="left"/>
              <w:rPr>
                <w:szCs w:val="24"/>
              </w:rPr>
            </w:pPr>
            <w:r>
              <w:rPr>
                <w:szCs w:val="24"/>
              </w:rPr>
              <w:t>По мярка 19 към 31.12.2018 г. са налице подписани договори с 64 Местни инициативни групи с фин</w:t>
            </w:r>
            <w:r>
              <w:rPr>
                <w:szCs w:val="24"/>
              </w:rPr>
              <w:t>ансиране в размер на 186 407 360.49 евро, но не се отчитат резултати по Показател R24 / T23: работни места, разкрити в подпомогнатите проекти (LEADER) (област с поставен акцент 6Б), тъй като към същия период въпреки множеството проведени приеми и оценки на</w:t>
            </w:r>
            <w:r>
              <w:rPr>
                <w:szCs w:val="24"/>
              </w:rPr>
              <w:t xml:space="preserve"> приетите заявления за подпомагане от страна на местните инициативни групи няма подписани договори за финансиране по ПРСР, което се дължи на предстояща административна обработка на проектите от страна на ДФ „Земеделие“. Практиката от предходния програмен п</w:t>
            </w:r>
            <w:r>
              <w:rPr>
                <w:szCs w:val="24"/>
              </w:rPr>
              <w:t>ериод показва, че след подписването на договорите забавянията ще бъдат наваксани и няма основание да се счита, че изпълнението на поставената за програмния период цел е поставена под риск.</w:t>
            </w:r>
          </w:p>
          <w:p w:rsidR="002B3815" w:rsidRDefault="0099452B">
            <w:pPr>
              <w:spacing w:before="240" w:after="240"/>
              <w:jc w:val="left"/>
              <w:rPr>
                <w:szCs w:val="24"/>
              </w:rPr>
            </w:pPr>
            <w:r>
              <w:rPr>
                <w:szCs w:val="24"/>
              </w:rPr>
              <w:t>Към 31.12.2018 г. междинната цел, свързана с брой на населението, о</w:t>
            </w:r>
            <w:r>
              <w:rPr>
                <w:szCs w:val="24"/>
              </w:rPr>
              <w:t>бхванато от местни инициативни групи е изпълнена.</w:t>
            </w:r>
          </w:p>
          <w:p w:rsidR="002B3815" w:rsidRDefault="002B3815">
            <w:pPr>
              <w:pStyle w:val="BodyText"/>
            </w:pPr>
          </w:p>
        </w:tc>
      </w:tr>
    </w:tbl>
    <w:p w:rsidR="002B3815" w:rsidRDefault="0099452B">
      <w:pPr>
        <w:pStyle w:val="Heading3"/>
        <w:jc w:val="left"/>
      </w:pPr>
      <w:bookmarkStart w:id="140" w:name="_Toc256000209"/>
      <w:bookmarkStart w:id="141" w:name="_Toc256000127"/>
      <w:bookmarkStart w:id="142" w:name="_Toc256000045"/>
      <w:r>
        <w:t>CEQ18-6C - До каква степен интервенциите по ПРСР са подобрили достъпа, използването и качеството на информационни и комуникационни технологии (ИКТ) в селските райони?</w:t>
      </w:r>
      <w:bookmarkEnd w:id="140"/>
      <w:bookmarkEnd w:id="141"/>
      <w:bookmarkEnd w:id="142"/>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Към </w:t>
            </w:r>
            <w:r>
              <w:rPr>
                <w:szCs w:val="24"/>
              </w:rPr>
              <w:t>31.12.2018 г. няма реализирани проекти, с разходи, относими към ФО 6В, поради което не може да бъде отговорено на поставения въпрос.</w:t>
            </w:r>
          </w:p>
          <w:p w:rsidR="002B3815" w:rsidRDefault="002B3815">
            <w:pPr>
              <w:pStyle w:val="BodyText"/>
            </w:pPr>
          </w:p>
        </w:tc>
      </w:tr>
    </w:tbl>
    <w:p w:rsidR="002B3815" w:rsidRDefault="0099452B">
      <w:pPr>
        <w:pStyle w:val="Heading3"/>
        <w:jc w:val="left"/>
      </w:pPr>
      <w:bookmarkStart w:id="143" w:name="_Toc256000210"/>
      <w:bookmarkStart w:id="144" w:name="_Toc256000128"/>
      <w:bookmarkStart w:id="145" w:name="_Toc256000046"/>
      <w:r>
        <w:t>CEQ19-PE - В каква степен полезните взаимодействия между приоритетите и областите с поставен акцент са повишили ефективно</w:t>
      </w:r>
      <w:r>
        <w:t>стта на ПРСР?</w:t>
      </w:r>
      <w:bookmarkEnd w:id="143"/>
      <w:bookmarkEnd w:id="144"/>
      <w:bookmarkEnd w:id="145"/>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Поетите ангажименти и оторизираните плащания в рамките на компенсаторните мерки от Програмата са в пълно съответствие с предвидения основен и допълнителен принос съгласно Раздел 11.2 „Преглед на планираното изпълне</w:t>
            </w:r>
            <w:r>
              <w:rPr>
                <w:szCs w:val="24"/>
              </w:rPr>
              <w:t>ние и на планираните разходи по мерки и по области с поставен акцент“ от план на показателите.</w:t>
            </w:r>
          </w:p>
          <w:p w:rsidR="002B3815" w:rsidRDefault="0099452B">
            <w:pPr>
              <w:spacing w:before="240" w:after="240"/>
              <w:jc w:val="left"/>
              <w:rPr>
                <w:szCs w:val="24"/>
              </w:rPr>
            </w:pPr>
            <w:r>
              <w:rPr>
                <w:szCs w:val="24"/>
              </w:rPr>
              <w:t>Едновременният ефект от прилагане на мерките по отношение на приноса към отделните области на въздействие се потвърждава от постигнатия напредък по изпълнение на</w:t>
            </w:r>
            <w:r>
              <w:rPr>
                <w:szCs w:val="24"/>
              </w:rPr>
              <w:t xml:space="preserve"> резултатните показатели към края на 2018 г. Въз основа на анализа на действащата към момента на обявяване на съответните приеми нормативната база по отношение на критерии за допустимост на кандидати, дейности и критерий за оценка и въз основа на анализа н</w:t>
            </w:r>
            <w:r>
              <w:rPr>
                <w:szCs w:val="24"/>
              </w:rPr>
              <w:t>а получените от ДФ“Земеделие“, РА и МЗХГ данни по под мерки се наблюдава влияние на част от под мярките и към области с поставен акцент, които не са включени в интервенционната логика на етап програмиране и последващи промени в Програмата и съответно не се</w:t>
            </w:r>
            <w:r>
              <w:rPr>
                <w:szCs w:val="24"/>
              </w:rPr>
              <w:t xml:space="preserve"> отнасят от ДФЗемеделие към някои приоритетни области, върху които считаме, че влияят, както следва:</w:t>
            </w:r>
          </w:p>
          <w:p w:rsidR="002B3815" w:rsidRDefault="0099452B">
            <w:pPr>
              <w:spacing w:before="240" w:after="240"/>
              <w:jc w:val="left"/>
              <w:rPr>
                <w:szCs w:val="24"/>
              </w:rPr>
            </w:pPr>
            <w:r>
              <w:rPr>
                <w:szCs w:val="24"/>
              </w:rPr>
              <w:t>По двата проведени приема по под мярка 4.1 приоритет се дава на инвестиционни намерения, осъществяващи се на територията на селски райони и създаващи допъл</w:t>
            </w:r>
            <w:r>
              <w:rPr>
                <w:szCs w:val="24"/>
              </w:rPr>
              <w:t>нителна заетост. Считаме, че реализираните разходи по тези проекти са относими и към Приоритет 6, т.к. изцяло допринасят за реализиране на заложените индикатори по ФО 6А и 6Б. Същото твърдение може да се приложи и по отношение на интервенционната логика на</w:t>
            </w:r>
            <w:r>
              <w:rPr>
                <w:szCs w:val="24"/>
              </w:rPr>
              <w:t xml:space="preserve"> под мярка 4.2.  Отделно част от допустимите разходи по под мярка 4.2 включват инвестиции в производство на енергия от ВЕИ за собствено потребление. Анализът на одобрените проекти по първи прием показва, че не малка част от проектите включват и такива разх</w:t>
            </w:r>
            <w:r>
              <w:rPr>
                <w:szCs w:val="24"/>
              </w:rPr>
              <w:t>оди, което означава, че реализирането на тези проекти допринася за постигане целите на ФО 5В.</w:t>
            </w:r>
          </w:p>
          <w:p w:rsidR="002B3815" w:rsidRDefault="0099452B">
            <w:pPr>
              <w:spacing w:before="240" w:after="240"/>
              <w:jc w:val="left"/>
              <w:rPr>
                <w:szCs w:val="24"/>
              </w:rPr>
            </w:pPr>
            <w:r>
              <w:rPr>
                <w:szCs w:val="24"/>
              </w:rPr>
              <w:t>По отношение на под мярка 6.1 разходите са програмирани да бъдат отнасяни изцяло към ФО 2Б. В същото време под мярката пряко допринася към ФО 2А чрез възможността</w:t>
            </w:r>
            <w:r>
              <w:rPr>
                <w:szCs w:val="24"/>
              </w:rPr>
              <w:t>, която дава мярката за модернизацията на стопанствата и задължителния характер на увеличаването на икономическия размер на стопанствата, което се отразява пряко и върху пазарното участие на съответните стопанства. По под мярката се дава приоритет на стопа</w:t>
            </w:r>
            <w:r>
              <w:rPr>
                <w:szCs w:val="24"/>
              </w:rPr>
              <w:t>нства, създаващи работни места, което е пряко относимо и към ФО 6А и ФО 6Б по отношение на проектите по под мярката, които се реализират на територията на селските райони.</w:t>
            </w:r>
          </w:p>
          <w:p w:rsidR="002B3815" w:rsidRDefault="0099452B">
            <w:pPr>
              <w:spacing w:before="240" w:after="240"/>
              <w:jc w:val="left"/>
              <w:rPr>
                <w:szCs w:val="24"/>
              </w:rPr>
            </w:pPr>
            <w:r>
              <w:rPr>
                <w:szCs w:val="24"/>
              </w:rPr>
              <w:t>По под мярка 6.3 към 31.12.2018 г. има приключени 1153 бр. договора. 873 от тях са л</w:t>
            </w:r>
            <w:r>
              <w:rPr>
                <w:szCs w:val="24"/>
              </w:rPr>
              <w:t>ица, които под 40 годишна възраст и в тази връзка считаме, че под мярката допринася за ФО 2Б.</w:t>
            </w:r>
          </w:p>
          <w:p w:rsidR="002B3815" w:rsidRDefault="002B3815">
            <w:pPr>
              <w:pStyle w:val="BodyText"/>
            </w:pPr>
          </w:p>
        </w:tc>
      </w:tr>
    </w:tbl>
    <w:p w:rsidR="002B3815" w:rsidRDefault="0099452B">
      <w:pPr>
        <w:pStyle w:val="Heading3"/>
        <w:jc w:val="left"/>
      </w:pPr>
      <w:bookmarkStart w:id="146" w:name="_Toc256000211"/>
      <w:bookmarkStart w:id="147" w:name="_Toc256000129"/>
      <w:bookmarkStart w:id="148" w:name="_Toc256000047"/>
      <w:r>
        <w:t>CEQ20-TA - До каква степен техническата помощ е допринесла за постигането на целите, определени в член 59, параграф 1 от Регламент (ЕС) № 1303/2013 и в член 51,</w:t>
      </w:r>
      <w:r>
        <w:t xml:space="preserve"> параграф 2 от Регламент (ЕС) № 1305/2013?</w:t>
      </w:r>
      <w:bookmarkEnd w:id="146"/>
      <w:bookmarkEnd w:id="147"/>
      <w:bookmarkEnd w:id="148"/>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Към края на 2018 г. по мярката са одобрени  119 заявления за подпомагане на обща стойност 20 987 666,86 евро. Платените към същия период разходи са в размер на 12 702 246.52 евро.    </w:t>
            </w:r>
          </w:p>
          <w:p w:rsidR="002B3815" w:rsidRDefault="0099452B">
            <w:pPr>
              <w:spacing w:before="240" w:after="240"/>
              <w:jc w:val="left"/>
              <w:rPr>
                <w:szCs w:val="24"/>
              </w:rPr>
            </w:pPr>
            <w:r>
              <w:rPr>
                <w:szCs w:val="24"/>
              </w:rPr>
              <w:t>Т</w:t>
            </w:r>
            <w:r>
              <w:rPr>
                <w:szCs w:val="24"/>
              </w:rPr>
              <w:t>аблица: Изпълнение по М20 към 31.12.2018 г. по данни на МЗХГ</w:t>
            </w:r>
          </w:p>
          <w:p w:rsidR="002B3815" w:rsidRDefault="0099452B">
            <w:pPr>
              <w:spacing w:before="240" w:after="240"/>
              <w:jc w:val="left"/>
              <w:rPr>
                <w:szCs w:val="24"/>
              </w:rPr>
            </w:pPr>
            <w:r>
              <w:rPr>
                <w:szCs w:val="24"/>
              </w:rPr>
              <w:br/>
              <w:t>Дейностите по техническа помощ към 31.12.2018 г. са допринесли за представяне на ПРСР 2014-2020 пред широката общественост чрез различни канали – телевизионни клипове, публични събития и т.н.В р</w:t>
            </w:r>
            <w:r>
              <w:rPr>
                <w:szCs w:val="24"/>
              </w:rPr>
              <w:t>амките на ПРСР 2014-2020 мярката има ключова роля за прилагане на Програмата. Това е постигнато чрез дейности насочени към осигуряване на информираност и публичност на ПРСР, извършване на анализи, проучвания, изследвания и оценки, както и техническо обезпе</w:t>
            </w:r>
            <w:r>
              <w:rPr>
                <w:szCs w:val="24"/>
              </w:rPr>
              <w:t>чение и възнаграждения за УО и РА.</w:t>
            </w:r>
          </w:p>
          <w:p w:rsidR="002B3815" w:rsidRDefault="0099452B">
            <w:pPr>
              <w:spacing w:before="240" w:after="240"/>
              <w:jc w:val="left"/>
              <w:rPr>
                <w:szCs w:val="24"/>
              </w:rPr>
            </w:pPr>
            <w:r>
              <w:rPr>
                <w:szCs w:val="24"/>
              </w:rPr>
              <w:t>След анализ на проведените сред предприятия, земеделски стопани, общини и местни инициативни групи става ясно, че над 80% от анкетираните не са срещали трудности в комуникацията си с ДФЗ или МЗХГ, което е показателно за н</w:t>
            </w:r>
            <w:r>
              <w:rPr>
                <w:szCs w:val="24"/>
              </w:rPr>
              <w:t>аличието на административен капацитет.</w:t>
            </w:r>
          </w:p>
          <w:p w:rsidR="002B3815" w:rsidRDefault="0099452B">
            <w:pPr>
              <w:spacing w:before="240" w:after="240"/>
              <w:jc w:val="left"/>
              <w:rPr>
                <w:szCs w:val="24"/>
              </w:rPr>
            </w:pPr>
            <w:r>
              <w:rPr>
                <w:szCs w:val="24"/>
              </w:rPr>
              <w:t>По отношение на продължителността при обработка заявленията за кандидатстване и изплащане на заявките за плащане се наблюдава значително забавяне на одобрението на проектите, като например прием 2018 по под мярка 4.2,</w:t>
            </w:r>
            <w:r>
              <w:rPr>
                <w:szCs w:val="24"/>
              </w:rPr>
              <w:t xml:space="preserve"> при който заявленията за подпомагане се обработват повече от година и все още няма подписани договори. Същото важи за проектите, подавани към Стратегиите за ВОМР, където оценката на ниво МИГ се извършва в кратки срокове – около един месец, а последващата </w:t>
            </w:r>
            <w:r>
              <w:rPr>
                <w:szCs w:val="24"/>
              </w:rPr>
              <w:t>оценка в ДФЗемеделие, РА се забавя с над три месеца. Тази тендеция е трайна и се отнася за всички приеми по ПРСР 2014-2020. Изплащането на заявките за плащане се извършва в предвидените срокове.</w:t>
            </w:r>
          </w:p>
          <w:p w:rsidR="002B3815" w:rsidRDefault="0099452B">
            <w:pPr>
              <w:spacing w:before="240" w:after="240"/>
              <w:jc w:val="left"/>
              <w:rPr>
                <w:szCs w:val="24"/>
              </w:rPr>
            </w:pPr>
            <w:r>
              <w:rPr>
                <w:szCs w:val="24"/>
              </w:rPr>
              <w:t>Стъпка към намаляване на административната тежест е въвеждане</w:t>
            </w:r>
            <w:r>
              <w:rPr>
                <w:szCs w:val="24"/>
              </w:rPr>
              <w:t>то в насоките за кандидатстване по всички под мерки изискването на чл.2 от Закона за електронното управление, където админитративните органи, осъществяващи публични функции и обществени услуги не могат да изискват от гражданите и организациите представянет</w:t>
            </w:r>
            <w:r>
              <w:rPr>
                <w:szCs w:val="24"/>
              </w:rPr>
              <w:t>о или доказването на вече събрани или създадени данни, а са длъжни да ги съберат служебно от първичния им администратор. Тази практика би трябвало да се наложи и при провеждането на приеми към Стратегиите за ВОМР, където УО на ПРСР би могъл да делегира пра</w:t>
            </w:r>
            <w:r>
              <w:rPr>
                <w:szCs w:val="24"/>
              </w:rPr>
              <w:t>ва на съответните МИГ за достъп до електронни регистри.</w:t>
            </w:r>
          </w:p>
          <w:p w:rsidR="002B3815" w:rsidRDefault="0099452B">
            <w:pPr>
              <w:spacing w:before="240" w:after="240"/>
              <w:jc w:val="left"/>
              <w:rPr>
                <w:szCs w:val="24"/>
              </w:rPr>
            </w:pPr>
            <w:r>
              <w:rPr>
                <w:szCs w:val="24"/>
              </w:rPr>
              <w:t>Основа за извършване на анализ във връзка с оценка на ПРСР са данните, които ДФЗемеделие, РА и отчасти МЗХГ – в качеството му на прилагащ М19 – предоставят на оценителите. Съгласно записаното в ПРСР 2</w:t>
            </w:r>
            <w:r>
              <w:rPr>
                <w:szCs w:val="24"/>
              </w:rPr>
              <w:t xml:space="preserve">014-2020 ДФЗемеделие поддържа резултати от изпълнението на мерките така че да е възможно автоматичното извеждане на </w:t>
            </w:r>
            <w:r>
              <w:rPr>
                <w:b/>
                <w:bCs/>
                <w:szCs w:val="24"/>
              </w:rPr>
              <w:t>достоверни стойности за индикаторите по индикаторен план, включително индикаторите за резултат, индикаторите за продукт, финансовите индикат</w:t>
            </w:r>
            <w:r>
              <w:rPr>
                <w:b/>
                <w:bCs/>
                <w:szCs w:val="24"/>
              </w:rPr>
              <w:t>ори, целевите индикатори и индикаторите от рамката за изпълнение</w:t>
            </w:r>
            <w:r>
              <w:rPr>
                <w:szCs w:val="24"/>
              </w:rPr>
              <w:t xml:space="preserve">. Към момента не всички предоставяни от ДФЗемеделие данни се представят в подходящ за извършване на анализ вид. Липсват основни индикатори, необходими за извършване на оценката на </w:t>
            </w:r>
            <w:r>
              <w:rPr>
                <w:szCs w:val="24"/>
              </w:rPr>
              <w:t>въздействието на ПРСР 2014-2020 г.</w:t>
            </w:r>
          </w:p>
          <w:p w:rsidR="002B3815" w:rsidRDefault="0099452B">
            <w:pPr>
              <w:spacing w:before="240" w:after="240"/>
              <w:jc w:val="left"/>
              <w:rPr>
                <w:szCs w:val="24"/>
              </w:rPr>
            </w:pPr>
            <w:r>
              <w:rPr>
                <w:szCs w:val="24"/>
              </w:rPr>
              <w:t>Следва да се събират регулярно данни и от други институции като например ИАОС.</w:t>
            </w:r>
          </w:p>
          <w:p w:rsidR="002B3815" w:rsidRDefault="0099452B">
            <w:pPr>
              <w:spacing w:before="240" w:after="240"/>
              <w:jc w:val="left"/>
              <w:rPr>
                <w:szCs w:val="24"/>
              </w:rPr>
            </w:pPr>
            <w:r>
              <w:rPr>
                <w:szCs w:val="24"/>
              </w:rPr>
              <w:t xml:space="preserve">Следва да се обърне внимание и на данните, които ще бъдат събирани от МИГ по отношение на отчитането на заложените в Стратегиите индикатори и </w:t>
            </w:r>
            <w:r>
              <w:rPr>
                <w:szCs w:val="24"/>
              </w:rPr>
              <w:t>как те ще бъдат събирани и анализирани по отношение генерирането на индикаторите за изпълнение на ПРСР 2014-2020 г.</w:t>
            </w:r>
          </w:p>
          <w:p w:rsidR="002B3815" w:rsidRDefault="0099452B">
            <w:pPr>
              <w:spacing w:before="240" w:after="240"/>
              <w:jc w:val="left"/>
              <w:rPr>
                <w:szCs w:val="24"/>
              </w:rPr>
            </w:pPr>
            <w:r>
              <w:rPr>
                <w:szCs w:val="24"/>
              </w:rPr>
              <w:t>Осигуряването на навременно получаване на точните данни ще спомогнат за по-качествена оценка на ПРСР 2014-2020 г. и ще дадат необходимото вр</w:t>
            </w:r>
            <w:r>
              <w:rPr>
                <w:szCs w:val="24"/>
              </w:rPr>
              <w:t>еме за извършване на оценката, което към момента са намалява драстично от забавянето и обработката на необходимата информация, което пряко влияе върху качеството на оценката.</w:t>
            </w:r>
          </w:p>
          <w:p w:rsidR="002B3815" w:rsidRDefault="002B3815">
            <w:pPr>
              <w:pStyle w:val="BodyText"/>
            </w:pPr>
          </w:p>
          <w:p w:rsidR="002B3815" w:rsidRDefault="0099452B">
            <w:pPr>
              <w:pStyle w:val="BodyText3"/>
              <w:jc w:val="left"/>
            </w:pPr>
            <w:r w:rsidRPr="0099452B">
              <w:rPr>
                <w:noProof/>
                <w:lang w:val="en-US"/>
              </w:rPr>
              <w:pict>
                <v:shape id="Picture 100030" o:spid="_x0000_i1032" type="#_x0000_t75" style="width:522pt;height:411.75pt;visibility:visible;mso-wrap-style:square">
                  <v:imagedata r:id="rId40" o:title=""/>
                </v:shape>
              </w:pict>
            </w:r>
          </w:p>
          <w:p w:rsidR="002B3815" w:rsidRDefault="0099452B">
            <w:pPr>
              <w:pStyle w:val="Footer"/>
              <w:jc w:val="center"/>
            </w:pPr>
            <w:r>
              <w:t>Талица 1а</w:t>
            </w:r>
          </w:p>
          <w:p w:rsidR="002B3815" w:rsidRDefault="0099452B">
            <w:pPr>
              <w:pStyle w:val="Footer"/>
              <w:jc w:val="center"/>
            </w:pPr>
            <w:r w:rsidRPr="0099452B">
              <w:rPr>
                <w:noProof/>
                <w:lang w:val="en-US"/>
              </w:rPr>
              <w:pict>
                <v:shape id="Picture 100031" o:spid="_x0000_i1031" type="#_x0000_t75" style="width:510.75pt;height:531.75pt;visibility:visible;mso-wrap-style:square">
                  <v:imagedata r:id="rId41" o:title=""/>
                </v:shape>
              </w:pict>
            </w:r>
          </w:p>
          <w:p w:rsidR="002B3815" w:rsidRDefault="0099452B">
            <w:pPr>
              <w:pStyle w:val="Footer"/>
              <w:jc w:val="center"/>
            </w:pPr>
            <w:r>
              <w:t>Таблица 1б</w:t>
            </w:r>
          </w:p>
          <w:p w:rsidR="002B3815" w:rsidRDefault="002B3815">
            <w:pPr>
              <w:pStyle w:val="Footer"/>
              <w:jc w:val="center"/>
            </w:pPr>
          </w:p>
        </w:tc>
      </w:tr>
    </w:tbl>
    <w:p w:rsidR="002B3815" w:rsidRDefault="0099452B">
      <w:pPr>
        <w:pStyle w:val="Heading3"/>
        <w:jc w:val="left"/>
      </w:pPr>
      <w:bookmarkStart w:id="149" w:name="_Toc256000212"/>
      <w:bookmarkStart w:id="150" w:name="_Toc256000130"/>
      <w:bookmarkStart w:id="151" w:name="_Toc256000048"/>
      <w:r>
        <w:t xml:space="preserve">CEQ21-RN - До каква степен националната мрежа за </w:t>
      </w:r>
      <w:r>
        <w:t>селските райони допринесла за постигането на целите, определени в член 54, параграф 2 от Регламент (ЕС) № 1305/2013?</w:t>
      </w:r>
      <w:bookmarkEnd w:id="149"/>
      <w:bookmarkEnd w:id="150"/>
      <w:bookmarkEnd w:id="151"/>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Дейностите, свързани с администрирането и управлението на Националната селска мрежа (НСМ) в България са възложе</w:t>
            </w:r>
            <w:r>
              <w:rPr>
                <w:szCs w:val="24"/>
              </w:rPr>
              <w:t>ни с договор от 10 април 2018 г. на Обединение „Селска мрежа БГ“ ДЗЗД със срок на договора до 10 април 2022 г. и бюджет 2 522 400 лв. (без ДДС).</w:t>
            </w:r>
          </w:p>
          <w:p w:rsidR="002B3815" w:rsidRDefault="0099452B">
            <w:pPr>
              <w:spacing w:before="240" w:after="240"/>
              <w:jc w:val="left"/>
              <w:rPr>
                <w:szCs w:val="24"/>
              </w:rPr>
            </w:pPr>
            <w:r>
              <w:rPr>
                <w:szCs w:val="24"/>
              </w:rPr>
              <w:t>Към 31.12.2018 г. от страна на Изпълнителят са извършени следните дейности:</w:t>
            </w:r>
          </w:p>
          <w:p w:rsidR="002B3815" w:rsidRDefault="0099452B" w:rsidP="0099452B">
            <w:pPr>
              <w:numPr>
                <w:ilvl w:val="0"/>
                <w:numId w:val="89"/>
              </w:numPr>
              <w:spacing w:before="240" w:after="0"/>
              <w:ind w:hanging="210"/>
              <w:jc w:val="left"/>
              <w:rPr>
                <w:szCs w:val="24"/>
              </w:rPr>
            </w:pPr>
            <w:r>
              <w:rPr>
                <w:szCs w:val="24"/>
              </w:rPr>
              <w:t xml:space="preserve">Изготвен Встъпителен доклад след </w:t>
            </w:r>
            <w:r>
              <w:rPr>
                <w:szCs w:val="24"/>
              </w:rPr>
              <w:t>направен анализ;</w:t>
            </w:r>
          </w:p>
          <w:p w:rsidR="002B3815" w:rsidRDefault="0099452B" w:rsidP="0099452B">
            <w:pPr>
              <w:numPr>
                <w:ilvl w:val="0"/>
                <w:numId w:val="89"/>
              </w:numPr>
              <w:spacing w:before="0" w:after="0"/>
              <w:ind w:hanging="210"/>
              <w:jc w:val="left"/>
              <w:rPr>
                <w:szCs w:val="24"/>
              </w:rPr>
            </w:pPr>
            <w:r>
              <w:rPr>
                <w:szCs w:val="24"/>
              </w:rPr>
              <w:t>Мобилизиране на ключовите експерти и съставяне на ЗУ на НСМ;</w:t>
            </w:r>
          </w:p>
          <w:p w:rsidR="002B3815" w:rsidRDefault="0099452B" w:rsidP="0099452B">
            <w:pPr>
              <w:numPr>
                <w:ilvl w:val="0"/>
                <w:numId w:val="89"/>
              </w:numPr>
              <w:spacing w:before="0" w:after="0"/>
              <w:ind w:hanging="210"/>
              <w:jc w:val="left"/>
              <w:rPr>
                <w:szCs w:val="24"/>
              </w:rPr>
            </w:pPr>
            <w:r>
              <w:rPr>
                <w:szCs w:val="24"/>
              </w:rPr>
              <w:t>Подновяване работата на 28-те регионални координатори;</w:t>
            </w:r>
          </w:p>
          <w:p w:rsidR="002B3815" w:rsidRDefault="0099452B" w:rsidP="0099452B">
            <w:pPr>
              <w:numPr>
                <w:ilvl w:val="0"/>
                <w:numId w:val="89"/>
              </w:numPr>
              <w:spacing w:before="0" w:after="0"/>
              <w:ind w:hanging="210"/>
              <w:jc w:val="left"/>
              <w:rPr>
                <w:szCs w:val="24"/>
              </w:rPr>
            </w:pPr>
            <w:r>
              <w:rPr>
                <w:szCs w:val="24"/>
              </w:rPr>
              <w:t>Стартиране разработването на нова Интернет страница на мрежата;</w:t>
            </w:r>
          </w:p>
          <w:p w:rsidR="002B3815" w:rsidRDefault="0099452B" w:rsidP="0099452B">
            <w:pPr>
              <w:numPr>
                <w:ilvl w:val="0"/>
                <w:numId w:val="89"/>
              </w:numPr>
              <w:spacing w:before="0" w:after="0"/>
              <w:ind w:hanging="210"/>
              <w:jc w:val="left"/>
              <w:rPr>
                <w:szCs w:val="24"/>
              </w:rPr>
            </w:pPr>
            <w:r>
              <w:rPr>
                <w:szCs w:val="24"/>
              </w:rPr>
              <w:t>Актуализиране и поддръжка на Фейсбук страницата на мрежата;</w:t>
            </w:r>
          </w:p>
          <w:p w:rsidR="002B3815" w:rsidRDefault="0099452B" w:rsidP="0099452B">
            <w:pPr>
              <w:numPr>
                <w:ilvl w:val="0"/>
                <w:numId w:val="89"/>
              </w:numPr>
              <w:spacing w:before="0" w:after="240"/>
              <w:ind w:hanging="210"/>
              <w:jc w:val="left"/>
              <w:rPr>
                <w:szCs w:val="24"/>
              </w:rPr>
            </w:pPr>
            <w:r>
              <w:rPr>
                <w:szCs w:val="24"/>
              </w:rPr>
              <w:t>Проведена еднодневна работна среща на 18.07.2018 на тема: „Провеждане на дебат за ОСП след 2020 г.“</w:t>
            </w:r>
          </w:p>
          <w:p w:rsidR="002B3815" w:rsidRDefault="002B3815">
            <w:pPr>
              <w:pStyle w:val="BodyText"/>
            </w:pPr>
          </w:p>
        </w:tc>
      </w:tr>
    </w:tbl>
    <w:p w:rsidR="002B3815" w:rsidRDefault="0099452B">
      <w:pPr>
        <w:pStyle w:val="Heading3"/>
        <w:jc w:val="left"/>
      </w:pPr>
      <w:bookmarkStart w:id="152" w:name="_Toc256000213"/>
      <w:bookmarkStart w:id="153" w:name="_Toc256000131"/>
      <w:bookmarkStart w:id="154" w:name="_Toc256000049"/>
      <w:r>
        <w:t>CEQ22-EM - To what extent has the RDP contributed to achieving the EU 2020 headline target of raising the employment rate of the population aged 20 to 64</w:t>
      </w:r>
      <w:r>
        <w:t xml:space="preserve"> to at least 75 %?</w:t>
      </w:r>
      <w:bookmarkEnd w:id="152"/>
      <w:bookmarkEnd w:id="153"/>
      <w:bookmarkEnd w:id="154"/>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По данни на НСИ, средногодишният брой на заетите лица на 15 и повече навършени години през 2017 г. е 3 150,3 хиляди - със 133,5 хиляди или 4,4% повече в сравнение с предходната година. В сектор селско, горско </w:t>
            </w:r>
            <w:r>
              <w:rPr>
                <w:szCs w:val="24"/>
              </w:rPr>
              <w:t>стопанство и риболов се отчита увеличение на броя на заетите лица с 8,5%, до 221,0 хиляди, което води до нарастване на относителния дял на сектора в структурата на заетостта по икономически дейности до 7% (при 6,8% през 2016 г.).</w:t>
            </w:r>
          </w:p>
          <w:p w:rsidR="002B3815" w:rsidRDefault="0099452B">
            <w:pPr>
              <w:spacing w:before="240" w:after="240"/>
              <w:jc w:val="left"/>
              <w:rPr>
                <w:szCs w:val="24"/>
              </w:rPr>
            </w:pPr>
            <w:r>
              <w:rPr>
                <w:szCs w:val="24"/>
              </w:rPr>
              <w:t>По данни на Евростат се на</w:t>
            </w:r>
            <w:r>
              <w:rPr>
                <w:szCs w:val="24"/>
              </w:rPr>
              <w:t>блюдава увеличение на заетите във възрастовия диапазон 15-64 години във всички райони за планиране на територията на България, включително и селските райони.</w:t>
            </w:r>
          </w:p>
          <w:p w:rsidR="002B3815" w:rsidRDefault="0099452B">
            <w:pPr>
              <w:spacing w:before="240" w:after="240"/>
              <w:jc w:val="left"/>
              <w:rPr>
                <w:szCs w:val="24"/>
              </w:rPr>
            </w:pPr>
            <w:r>
              <w:rPr>
                <w:szCs w:val="24"/>
              </w:rPr>
              <w:t>ПРСР 2014-2020 във всичките програмирани инвестиционни мерки приоритизира създаването и запазванет</w:t>
            </w:r>
            <w:r>
              <w:rPr>
                <w:szCs w:val="24"/>
              </w:rPr>
              <w:t>о на съществуващи на работни места, а в същото време стимулира и инвестиционни намерения, които се извършват на територията на селските райони.</w:t>
            </w:r>
          </w:p>
          <w:p w:rsidR="002B3815" w:rsidRDefault="002B3815">
            <w:pPr>
              <w:pStyle w:val="BodyText"/>
            </w:pPr>
          </w:p>
        </w:tc>
      </w:tr>
    </w:tbl>
    <w:p w:rsidR="002B3815" w:rsidRDefault="0099452B">
      <w:pPr>
        <w:pStyle w:val="Heading3"/>
        <w:jc w:val="left"/>
      </w:pPr>
      <w:bookmarkStart w:id="155" w:name="_Toc256000214"/>
      <w:bookmarkStart w:id="156" w:name="_Toc256000132"/>
      <w:bookmarkStart w:id="157" w:name="_Toc256000050"/>
      <w:r>
        <w:t xml:space="preserve">CEQ23-RE - To what extent has the RDP contributed to achieving the EU2020 headline target of investing 3 % of </w:t>
      </w:r>
      <w:r>
        <w:t>EU’s GDP in research and development and innovation?</w:t>
      </w:r>
      <w:bookmarkEnd w:id="155"/>
      <w:bookmarkEnd w:id="156"/>
      <w:bookmarkEnd w:id="157"/>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Относими Приоритети и Области с поставен акцент: Приоритет 1, Област с поставен акцент 1A и 1B, както и всички приоритети и области с поставен акцент, интервенциите, по които </w:t>
            </w:r>
            <w:r>
              <w:rPr>
                <w:szCs w:val="24"/>
              </w:rPr>
              <w:t>допринасят за развитието на научноизследователската и развойна дейност и иновациите.</w:t>
            </w:r>
          </w:p>
          <w:p w:rsidR="002B3815" w:rsidRDefault="0099452B">
            <w:pPr>
              <w:spacing w:before="240" w:after="240"/>
              <w:jc w:val="left"/>
              <w:rPr>
                <w:szCs w:val="24"/>
              </w:rPr>
            </w:pPr>
            <w:r>
              <w:rPr>
                <w:szCs w:val="24"/>
              </w:rPr>
              <w:t>Относими мерки: М01, М02, М16</w:t>
            </w:r>
          </w:p>
          <w:p w:rsidR="002B3815" w:rsidRDefault="0099452B">
            <w:pPr>
              <w:spacing w:before="240" w:after="240"/>
              <w:jc w:val="left"/>
              <w:rPr>
                <w:szCs w:val="24"/>
              </w:rPr>
            </w:pPr>
            <w:r>
              <w:rPr>
                <w:szCs w:val="24"/>
              </w:rPr>
              <w:t>Целеви показатели:</w:t>
            </w:r>
          </w:p>
          <w:p w:rsidR="002B3815" w:rsidRDefault="0099452B">
            <w:pPr>
              <w:spacing w:before="240" w:after="240"/>
              <w:jc w:val="left"/>
              <w:rPr>
                <w:szCs w:val="24"/>
              </w:rPr>
            </w:pPr>
            <w:r>
              <w:rPr>
                <w:szCs w:val="24"/>
              </w:rPr>
              <w:t xml:space="preserve">T1: процент на разходи по членове 14, 15 и 35 от Регламент (ЕС) № 1305/2013 във връзка с общите разходи за ПРСР (област с </w:t>
            </w:r>
            <w:r>
              <w:rPr>
                <w:szCs w:val="24"/>
              </w:rPr>
              <w:t>поставен акцент 1А) – 0,18.</w:t>
            </w:r>
          </w:p>
          <w:p w:rsidR="002B3815" w:rsidRDefault="0099452B">
            <w:pPr>
              <w:spacing w:before="240" w:after="240"/>
              <w:jc w:val="left"/>
              <w:rPr>
                <w:szCs w:val="24"/>
              </w:rPr>
            </w:pPr>
            <w:r>
              <w:rPr>
                <w:szCs w:val="24"/>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 – 0.</w:t>
            </w:r>
          </w:p>
          <w:p w:rsidR="002B3815" w:rsidRDefault="0099452B">
            <w:pPr>
              <w:spacing w:before="240" w:after="240"/>
              <w:jc w:val="left"/>
              <w:rPr>
                <w:szCs w:val="24"/>
              </w:rPr>
            </w:pPr>
            <w:r>
              <w:rPr>
                <w:szCs w:val="24"/>
              </w:rPr>
              <w:t xml:space="preserve">М01 и М16 не са </w:t>
            </w:r>
            <w:r>
              <w:rPr>
                <w:szCs w:val="24"/>
              </w:rPr>
              <w:t>стартирали към 31.12.2018 г. В същото време инвестиционните дейности по М04 дават приоритет за инвестиции, включващи иновации. Официалната информация предоставена от ДФЗемеделие не дава възможност за идентифициране на дейности, свързани с внедряване на ино</w:t>
            </w:r>
            <w:r>
              <w:rPr>
                <w:szCs w:val="24"/>
              </w:rPr>
              <w:t>вации.</w:t>
            </w:r>
          </w:p>
          <w:p w:rsidR="002B3815" w:rsidRDefault="0099452B">
            <w:pPr>
              <w:spacing w:before="240" w:after="240"/>
              <w:jc w:val="left"/>
              <w:rPr>
                <w:szCs w:val="24"/>
              </w:rPr>
            </w:pPr>
            <w:r>
              <w:rPr>
                <w:szCs w:val="24"/>
              </w:rPr>
              <w:t>Не е възможно да бъде направен анализ за приноса на ПРСР 2014 – 2020 за развитието на научноизследователската и развойна дейност и иновациите.</w:t>
            </w:r>
          </w:p>
          <w:p w:rsidR="002B3815" w:rsidRDefault="002B3815">
            <w:pPr>
              <w:pStyle w:val="BodyText"/>
            </w:pPr>
          </w:p>
        </w:tc>
      </w:tr>
    </w:tbl>
    <w:p w:rsidR="002B3815" w:rsidRDefault="0099452B">
      <w:pPr>
        <w:pStyle w:val="Heading3"/>
        <w:jc w:val="left"/>
      </w:pPr>
      <w:bookmarkStart w:id="158" w:name="_Toc256000215"/>
      <w:bookmarkStart w:id="159" w:name="_Toc256000133"/>
      <w:bookmarkStart w:id="160" w:name="_Toc256000051"/>
      <w:r>
        <w:t>CEQ24-CL - To what extent has the RDP contributed to climate change mitigation and adaptation and to ach</w:t>
      </w:r>
      <w:r>
        <w:t>ieving the EU 2020 headline target of reducing greenhouse gas emissions by at least 20 % compared to 1990 levels, or by 30 % if the conditions are right, to increasing the share of renewable energy in final energy consumption to 20 %, and achieving 20 % in</w:t>
      </w:r>
      <w:r>
        <w:t>crease in energy efficiency?</w:t>
      </w:r>
      <w:bookmarkEnd w:id="158"/>
      <w:bookmarkEnd w:id="159"/>
      <w:bookmarkEnd w:id="160"/>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Въпреки че общото намаление на емисиите на амоняк в селското стопанство в ЕС-28 е 24% между 1990 г. и 2015 г., отделните държави-членки са имали различни резултати (Фигура 1). Редица държави-членки с</w:t>
            </w:r>
            <w:r>
              <w:rPr>
                <w:szCs w:val="24"/>
              </w:rPr>
              <w:t>а постигнали намаления с повече от 50% през този период с България (-74%), Холандия (-68%), Латвия (-61%) и Литва (-59%), отчитащи най-голямото намаление.</w:t>
            </w:r>
          </w:p>
          <w:p w:rsidR="002B3815" w:rsidRDefault="0099452B">
            <w:pPr>
              <w:spacing w:before="240" w:after="240"/>
              <w:jc w:val="left"/>
              <w:rPr>
                <w:szCs w:val="24"/>
              </w:rPr>
            </w:pPr>
            <w:r>
              <w:rPr>
                <w:szCs w:val="24"/>
              </w:rPr>
              <w:t>Фигура 1 - Промяна на съдържанието на азотни торове, 1990-2015 г., ЕС-28(%) Източник: Европейска аген</w:t>
            </w:r>
            <w:r>
              <w:rPr>
                <w:szCs w:val="24"/>
              </w:rPr>
              <w:t>ция за околната среда</w:t>
            </w:r>
          </w:p>
          <w:p w:rsidR="002B3815" w:rsidRDefault="0099452B">
            <w:pPr>
              <w:spacing w:before="240" w:after="240"/>
              <w:jc w:val="left"/>
              <w:rPr>
                <w:szCs w:val="24"/>
              </w:rPr>
            </w:pPr>
            <w:r>
              <w:rPr>
                <w:szCs w:val="24"/>
              </w:rPr>
              <w:t>В повечето държави-членки на ЕС-28 селското стопанство допринася с повече от 90% от общите емисии на амоняк. Въпреки това, редица държави-членки (България, Хърватия, Нидерландия, Португалия, Румъния, Швеция, Латвия, Литва и Обединенот</w:t>
            </w:r>
            <w:r>
              <w:rPr>
                <w:szCs w:val="24"/>
              </w:rPr>
              <w:t>о кралство) отчитат по-нисък принос поради сравнително по-големия дял на емисиите на амоняк от други сектори на техните икономики, напр. В България от автомобилния транспорт, отпадъците и промишлените процеси.</w:t>
            </w:r>
          </w:p>
          <w:p w:rsidR="002B3815" w:rsidRDefault="0099452B">
            <w:pPr>
              <w:spacing w:before="240" w:after="240"/>
              <w:jc w:val="left"/>
              <w:rPr>
                <w:szCs w:val="24"/>
              </w:rPr>
            </w:pPr>
            <w:r>
              <w:rPr>
                <w:szCs w:val="24"/>
              </w:rPr>
              <w:t>Фигура 2 – Промяна в емисиите на амоняк от сел</w:t>
            </w:r>
            <w:r>
              <w:rPr>
                <w:szCs w:val="24"/>
              </w:rPr>
              <w:t>ското стопанство, 1990-2015, EU-28 (%) Източник: European Environment Agency</w:t>
            </w:r>
          </w:p>
          <w:p w:rsidR="002B3815" w:rsidRDefault="0099452B">
            <w:pPr>
              <w:spacing w:before="240" w:after="240"/>
              <w:jc w:val="left"/>
              <w:rPr>
                <w:szCs w:val="24"/>
              </w:rPr>
            </w:pPr>
            <w:r>
              <w:rPr>
                <w:szCs w:val="24"/>
              </w:rPr>
              <w:t>Най-голямо намаление на глобалните емисии на CO2 се наблюдава за Великобритания (1,0% дял) с -6,4%, Бразилия (1,3% дял) с -6,1% и България (0.1% дял) с -6.0%.</w:t>
            </w:r>
          </w:p>
          <w:p w:rsidR="002B3815" w:rsidRDefault="0099452B">
            <w:pPr>
              <w:spacing w:before="240" w:after="240"/>
              <w:jc w:val="left"/>
              <w:rPr>
                <w:szCs w:val="24"/>
              </w:rPr>
            </w:pPr>
            <w:r>
              <w:rPr>
                <w:szCs w:val="24"/>
              </w:rPr>
              <w:t>Таблица 1: Емисии на</w:t>
            </w:r>
            <w:r>
              <w:rPr>
                <w:szCs w:val="24"/>
              </w:rPr>
              <w:t xml:space="preserve"> CO2 за България (данни EDGAR v4.3.2_FT 2016)</w:t>
            </w:r>
          </w:p>
          <w:p w:rsidR="002B3815" w:rsidRDefault="0099452B">
            <w:pPr>
              <w:spacing w:before="240" w:after="240"/>
              <w:jc w:val="left"/>
              <w:rPr>
                <w:szCs w:val="24"/>
              </w:rPr>
            </w:pPr>
            <w:r>
              <w:rPr>
                <w:szCs w:val="24"/>
              </w:rPr>
              <w:t>Съгласно данни на Изпълнителна Агенция по околна среда, които са получени от ФАО и водите към 2017 г. индикатор I41 – Органични вещества в почвите на обработваемите земи е със средна стойност за периода 2010-20</w:t>
            </w:r>
            <w:r>
              <w:rPr>
                <w:szCs w:val="24"/>
              </w:rPr>
              <w:t>17 г. 17,12 g/kg. Отчита се намаление в сравнение с 2010 г.Съгласно данни на Изпълнителна Агенция по околна среда и водите към 2017 г. индикатор I45 – емисиите на парникови газове общо за селското стопанство / CH4 и N2O и емисии поглъщания в почвата/ е 656</w:t>
            </w:r>
            <w:r>
              <w:rPr>
                <w:szCs w:val="24"/>
              </w:rPr>
              <w:t>0,44 Gg CO2 eq. Делът на сектора селско стопанство от общите емисии е 12,30%.</w:t>
            </w:r>
          </w:p>
          <w:p w:rsidR="002B3815" w:rsidRDefault="0099452B">
            <w:pPr>
              <w:spacing w:before="240" w:after="240"/>
              <w:jc w:val="left"/>
              <w:rPr>
                <w:szCs w:val="24"/>
              </w:rPr>
            </w:pPr>
            <w:r>
              <w:rPr>
                <w:szCs w:val="24"/>
              </w:rPr>
              <w:t xml:space="preserve">Съгласно данни на НСИ към 2017 г. делът на възобновяемата енергия в брутното крайно потребление на енергия в България е 18.7%, което надвишава, заложената цел за Европа 2020 от </w:t>
            </w:r>
            <w:r>
              <w:rPr>
                <w:szCs w:val="24"/>
              </w:rPr>
              <w:t>16 %. От 2013 г. до 2017 г. процентът варира между 18 и 19%, което показва устойчивост на дела на възобновяемата енергия в буртонот крайно потребление в страната.</w:t>
            </w:r>
          </w:p>
          <w:p w:rsidR="002B3815" w:rsidRDefault="0099452B">
            <w:pPr>
              <w:spacing w:before="240" w:after="240"/>
              <w:jc w:val="left"/>
              <w:rPr>
                <w:szCs w:val="24"/>
              </w:rPr>
            </w:pPr>
            <w:r>
              <w:rPr>
                <w:szCs w:val="24"/>
              </w:rPr>
              <w:t>Делът на селското стопанство в производството на енергия от ВЕИ за България през 2015 г. е 1,</w:t>
            </w:r>
            <w:r>
              <w:rPr>
                <w:szCs w:val="24"/>
              </w:rPr>
              <w:t>5% по данни на ЕП – Обща селскостопанска политика в цифри.</w:t>
            </w:r>
          </w:p>
          <w:p w:rsidR="002B3815" w:rsidRDefault="0099452B">
            <w:pPr>
              <w:spacing w:before="240" w:after="240"/>
              <w:jc w:val="left"/>
              <w:rPr>
                <w:szCs w:val="24"/>
              </w:rPr>
            </w:pPr>
            <w:r>
              <w:rPr>
                <w:b/>
                <w:bCs/>
                <w:szCs w:val="24"/>
              </w:rPr>
              <w:t>Принос на ПРСР 2014-2020 – по данни за реализирани проекти.</w:t>
            </w:r>
          </w:p>
          <w:p w:rsidR="002B3815" w:rsidRDefault="0099452B">
            <w:pPr>
              <w:spacing w:before="240" w:after="240"/>
              <w:jc w:val="left"/>
              <w:rPr>
                <w:szCs w:val="24"/>
              </w:rPr>
            </w:pPr>
            <w:r>
              <w:rPr>
                <w:szCs w:val="24"/>
              </w:rPr>
              <w:t>За ФО 5Б са предвидени 216 674 111 евро. Към 31.12.2018 г. са реализирани едва 3,58 % от заложените по приоритетната ос. Неизпълнението с</w:t>
            </w:r>
            <w:r>
              <w:rPr>
                <w:szCs w:val="24"/>
              </w:rPr>
              <w:t>е дължи на неизпълнение по под мярка 4.1, 4.2 и М16, М01.  Малкото отнесени към ФО 5В реализирани проекти води до невъзможност да бъде направен извод как ПРСР допринася за увеличаване на енергийната ефективност в подпомогнатите бенефициенти. Отговор на въп</w:t>
            </w:r>
            <w:r>
              <w:rPr>
                <w:szCs w:val="24"/>
              </w:rPr>
              <w:t xml:space="preserve">роса може да бъде изведен след събиране на данни, налични в сертификатите за енергийна ефективност, които данни могат да бъдат получени не по-рано една година след реализиране на инвестиционните намерения. Считаме, че приносът на под мярка 4.1 и 4.2 за ФО </w:t>
            </w:r>
            <w:r>
              <w:rPr>
                <w:szCs w:val="24"/>
              </w:rPr>
              <w:t>5В е значително по-голяма като поети ангажименти, от колкото са отнесени към 31.12.2018 г., с което препоръчваме да бъде прецизирано отнасянето на съответните разходи към тази ФО.</w:t>
            </w:r>
          </w:p>
          <w:p w:rsidR="002B3815" w:rsidRDefault="0099452B">
            <w:pPr>
              <w:spacing w:before="240" w:after="240"/>
              <w:jc w:val="left"/>
              <w:rPr>
                <w:szCs w:val="24"/>
              </w:rPr>
            </w:pPr>
            <w:r>
              <w:rPr>
                <w:szCs w:val="24"/>
              </w:rPr>
              <w:t xml:space="preserve">Анализираните данни сочат, че така програмирани във ФО 5В показателите няма </w:t>
            </w:r>
            <w:r>
              <w:rPr>
                <w:szCs w:val="24"/>
              </w:rPr>
              <w:t>как да бъдат достигнати. Следва да се прецезират заложените цели за 2023 г. по ФО 5В по отношение на показателите за изпълнение и целевия показател. Следва да прецезират заложените като цел за 2023 г. общо публични разходи по М04, М07 и да се обмисли възмо</w:t>
            </w:r>
            <w:r>
              <w:rPr>
                <w:szCs w:val="24"/>
              </w:rPr>
              <w:t>жността към ФО да бъдат отнесени и разходи, реализирани по под мярка 4.2, т.к в голяма част от проектните предложения има заложени разходи за производство на енергия от възобновяеми източници и реално ПРСР 2014-2020 допринася в голяма степен за повишаванет</w:t>
            </w:r>
            <w:r>
              <w:rPr>
                <w:szCs w:val="24"/>
              </w:rPr>
              <w:t>о на производството на енергия от възобновяеми източници, но това не може да бъде отчетено чрез така заложените цели и отнасяне на разходи по ФО.</w:t>
            </w:r>
          </w:p>
          <w:p w:rsidR="002B3815" w:rsidRDefault="0099452B">
            <w:pPr>
              <w:spacing w:before="240" w:after="240"/>
              <w:jc w:val="left"/>
              <w:rPr>
                <w:szCs w:val="24"/>
              </w:rPr>
            </w:pPr>
            <w:r>
              <w:rPr>
                <w:szCs w:val="24"/>
              </w:rPr>
              <w:t>Към 31 декември 2018 г. е отбелязан напредък по отношение на намаляване на емисиите на парникови газове и на а</w:t>
            </w:r>
            <w:r>
              <w:rPr>
                <w:szCs w:val="24"/>
              </w:rPr>
              <w:t>моняк от селското стопанство в резултат на изпълнението на подмярка 2.1 и  мярка 10 „Агроекология и климат“.</w:t>
            </w:r>
          </w:p>
          <w:p w:rsidR="002B3815" w:rsidRDefault="0099452B">
            <w:pPr>
              <w:spacing w:before="240" w:after="240"/>
              <w:jc w:val="left"/>
              <w:rPr>
                <w:szCs w:val="24"/>
              </w:rPr>
            </w:pPr>
            <w:r>
              <w:rPr>
                <w:szCs w:val="24"/>
              </w:rPr>
              <w:t>В рамките на мярка 10 „Агроекология и климат“ са поети ангажименти на стойност 28026114 евро в рамките на съответната фокус област.  Процентът на з</w:t>
            </w:r>
            <w:r>
              <w:rPr>
                <w:szCs w:val="24"/>
              </w:rPr>
              <w:t>емеделска земя, обхваната от договори за управление за намаляване на емисиите на парникови газове и/или амоняк възлиза на 0.02 % при планирани 0.16 % на база реализирани проекти. Предвид поетите ангажименти се очаква този показател да бъде преизпълнен. Към</w:t>
            </w:r>
            <w:r>
              <w:rPr>
                <w:szCs w:val="24"/>
              </w:rPr>
              <w:t xml:space="preserve"> 31.12.2018 г. покритата площ възлиза на 29 894 ха, което многократно надхвърля заложените нива като цел. От друга страна подпомогнатите ЖЕ не могат да достигнат планираната цел.</w:t>
            </w:r>
          </w:p>
          <w:p w:rsidR="002B3815" w:rsidRDefault="0099452B">
            <w:pPr>
              <w:spacing w:before="240" w:after="240"/>
              <w:jc w:val="left"/>
              <w:rPr>
                <w:szCs w:val="24"/>
              </w:rPr>
            </w:pPr>
            <w:r>
              <w:rPr>
                <w:szCs w:val="24"/>
              </w:rPr>
              <w:t>Също така в рамките на подмярка 4.1 „Инвестиции в земеделски стопанства“ са п</w:t>
            </w:r>
            <w:r>
              <w:rPr>
                <w:szCs w:val="24"/>
              </w:rPr>
              <w:t>оети ангжименти на стойност 1787076 евро за инвестиции, допринасящи за постигане на ефект в съответната фокус област, което представлява 4.8 % спрямо заложената стойност по подмярката.</w:t>
            </w:r>
          </w:p>
          <w:p w:rsidR="002B3815" w:rsidRDefault="0099452B">
            <w:pPr>
              <w:spacing w:before="240" w:after="240"/>
              <w:jc w:val="left"/>
              <w:rPr>
                <w:szCs w:val="24"/>
              </w:rPr>
            </w:pPr>
            <w:r>
              <w:rPr>
                <w:szCs w:val="24"/>
              </w:rPr>
              <w:t>Въз основа на изпълняваните агроекологични ангажименти по мярка 10 и об</w:t>
            </w:r>
            <w:r>
              <w:rPr>
                <w:szCs w:val="24"/>
              </w:rPr>
              <w:t>хванатия процент на земеделска земя може да се направи извод, че е отбелязан съществен напредък по отношение на намаляване на емисиите на парникови газове и на амоняк от селското стопанство.</w:t>
            </w:r>
          </w:p>
          <w:p w:rsidR="002B3815" w:rsidRDefault="0099452B">
            <w:pPr>
              <w:spacing w:before="240" w:after="240"/>
              <w:jc w:val="left"/>
              <w:rPr>
                <w:szCs w:val="24"/>
              </w:rPr>
            </w:pPr>
            <w:r>
              <w:rPr>
                <w:b/>
                <w:bCs/>
                <w:szCs w:val="24"/>
              </w:rPr>
              <w:t>Идентифицирани проблеми при отговора на въпроса.</w:t>
            </w:r>
          </w:p>
          <w:p w:rsidR="002B3815" w:rsidRDefault="0099452B">
            <w:pPr>
              <w:spacing w:before="240" w:after="240"/>
              <w:jc w:val="left"/>
              <w:rPr>
                <w:szCs w:val="24"/>
              </w:rPr>
            </w:pPr>
            <w:r>
              <w:rPr>
                <w:szCs w:val="24"/>
              </w:rPr>
              <w:t>Събраната и анал</w:t>
            </w:r>
            <w:r>
              <w:rPr>
                <w:szCs w:val="24"/>
              </w:rPr>
              <w:t>изирана информация е на национално ниво и в повечето случай са налични данни за показателите към 2015 г., в която ПРСР 2014-2020 все още не е стартирала.</w:t>
            </w:r>
          </w:p>
          <w:p w:rsidR="002B3815" w:rsidRDefault="0099452B">
            <w:pPr>
              <w:spacing w:before="240" w:after="240"/>
              <w:jc w:val="left"/>
              <w:rPr>
                <w:szCs w:val="24"/>
              </w:rPr>
            </w:pPr>
            <w:r>
              <w:rPr>
                <w:szCs w:val="24"/>
              </w:rPr>
              <w:t>При проведените анкети от определените контролни групи, анкетираните стопанства са дали следните отгов</w:t>
            </w:r>
            <w:r>
              <w:rPr>
                <w:szCs w:val="24"/>
              </w:rPr>
              <w:t>ори на въпроси, свързани с практики по опазване на околната среда:</w:t>
            </w:r>
          </w:p>
          <w:p w:rsidR="002B3815" w:rsidRDefault="0099452B">
            <w:pPr>
              <w:spacing w:before="240" w:after="240"/>
              <w:jc w:val="left"/>
              <w:rPr>
                <w:szCs w:val="24"/>
              </w:rPr>
            </w:pPr>
            <w:r>
              <w:rPr>
                <w:szCs w:val="24"/>
              </w:rPr>
              <w:t>25 % от анкетираните са инвестирали в по-ефективни напоителни системи - с по-ниско потребление/загуби на вода, противоерозионни параметри на поливните техники, енергоспестяване и др.</w:t>
            </w:r>
          </w:p>
          <w:p w:rsidR="002B3815" w:rsidRDefault="0099452B">
            <w:pPr>
              <w:spacing w:before="240" w:after="240"/>
              <w:jc w:val="left"/>
              <w:rPr>
                <w:szCs w:val="24"/>
              </w:rPr>
            </w:pPr>
            <w:r>
              <w:rPr>
                <w:szCs w:val="24"/>
              </w:rPr>
              <w:t>35 % о</w:t>
            </w:r>
            <w:r>
              <w:rPr>
                <w:szCs w:val="24"/>
              </w:rPr>
              <w:t>т анкетираните са инвестирали в мерки, свързани с намаляване на ЕЕ в стопанствата.</w:t>
            </w:r>
          </w:p>
          <w:p w:rsidR="002B3815" w:rsidRDefault="0099452B">
            <w:pPr>
              <w:spacing w:before="240" w:after="240"/>
              <w:jc w:val="left"/>
              <w:rPr>
                <w:szCs w:val="24"/>
              </w:rPr>
            </w:pPr>
            <w:r>
              <w:rPr>
                <w:szCs w:val="24"/>
              </w:rPr>
              <w:t>15 % от анкетираните са инвестирали в намаляване на емисиите на метан и двуазотен оксид</w:t>
            </w:r>
          </w:p>
          <w:p w:rsidR="002B3815" w:rsidRDefault="0099452B">
            <w:pPr>
              <w:spacing w:before="240" w:after="240"/>
              <w:jc w:val="left"/>
              <w:rPr>
                <w:szCs w:val="24"/>
              </w:rPr>
            </w:pPr>
            <w:r>
              <w:rPr>
                <w:szCs w:val="24"/>
              </w:rPr>
              <w:t xml:space="preserve">Въпреки, че е виден приноса на ПРСР 2014-2020 към постигане на целта е трудно той да </w:t>
            </w:r>
            <w:r>
              <w:rPr>
                <w:szCs w:val="24"/>
              </w:rPr>
              <w:t>бъде количествено измерен предвид липсата на конкретна количествена информация.</w:t>
            </w:r>
          </w:p>
          <w:p w:rsidR="002B3815" w:rsidRDefault="002B3815">
            <w:pPr>
              <w:pStyle w:val="BodyText"/>
            </w:pPr>
          </w:p>
          <w:p w:rsidR="002B3815" w:rsidRDefault="0099452B">
            <w:pPr>
              <w:pStyle w:val="BodyText3"/>
              <w:jc w:val="left"/>
            </w:pPr>
            <w:r w:rsidRPr="0099452B">
              <w:rPr>
                <w:noProof/>
                <w:lang w:val="en-US"/>
              </w:rPr>
              <w:pict>
                <v:shape id="Picture 100032" o:spid="_x0000_i1030" type="#_x0000_t75" style="width:522pt;height:275.25pt;visibility:visible;mso-wrap-style:square">
                  <v:imagedata r:id="rId42" o:title=""/>
                </v:shape>
              </w:pict>
            </w:r>
          </w:p>
          <w:p w:rsidR="002B3815" w:rsidRDefault="0099452B">
            <w:pPr>
              <w:pStyle w:val="Footer"/>
              <w:jc w:val="center"/>
            </w:pPr>
            <w:r>
              <w:t>Фигура1</w:t>
            </w:r>
          </w:p>
          <w:p w:rsidR="002B3815" w:rsidRDefault="0099452B">
            <w:pPr>
              <w:pStyle w:val="Footer"/>
            </w:pPr>
            <w:r w:rsidRPr="0099452B">
              <w:rPr>
                <w:noProof/>
                <w:lang w:val="en-US"/>
              </w:rPr>
              <w:pict>
                <v:shape id="Picture 100033" o:spid="_x0000_i1029" type="#_x0000_t75" style="width:522pt;height:274.5pt;visibility:visible;mso-wrap-style:square">
                  <v:imagedata r:id="rId43" o:title=""/>
                </v:shape>
              </w:pict>
            </w:r>
          </w:p>
          <w:p w:rsidR="002B3815" w:rsidRDefault="0099452B">
            <w:pPr>
              <w:pStyle w:val="Footer"/>
              <w:jc w:val="center"/>
            </w:pPr>
            <w:r>
              <w:t>Фигура2</w:t>
            </w:r>
          </w:p>
          <w:p w:rsidR="002B3815" w:rsidRDefault="0099452B">
            <w:pPr>
              <w:pStyle w:val="Footer"/>
            </w:pPr>
            <w:r w:rsidRPr="0099452B">
              <w:rPr>
                <w:noProof/>
                <w:lang w:val="en-US"/>
              </w:rPr>
              <w:pict>
                <v:shape id="Picture 100034" o:spid="_x0000_i1028" type="#_x0000_t75" style="width:522pt;height:96.75pt;visibility:visible;mso-wrap-style:square">
                  <v:imagedata r:id="rId44" o:title=""/>
                </v:shape>
              </w:pict>
            </w:r>
          </w:p>
          <w:p w:rsidR="002B3815" w:rsidRDefault="0099452B">
            <w:pPr>
              <w:pStyle w:val="Footer"/>
              <w:jc w:val="center"/>
            </w:pPr>
            <w:r>
              <w:t>Таблица1</w:t>
            </w:r>
          </w:p>
          <w:p w:rsidR="002B3815" w:rsidRDefault="002B3815">
            <w:pPr>
              <w:pStyle w:val="Footer"/>
              <w:jc w:val="center"/>
            </w:pPr>
          </w:p>
        </w:tc>
      </w:tr>
    </w:tbl>
    <w:p w:rsidR="002B3815" w:rsidRDefault="0099452B">
      <w:pPr>
        <w:pStyle w:val="Heading3"/>
        <w:jc w:val="left"/>
      </w:pPr>
      <w:bookmarkStart w:id="161" w:name="_Toc256000216"/>
      <w:bookmarkStart w:id="162" w:name="_Toc256000134"/>
      <w:bookmarkStart w:id="163" w:name="_Toc256000052"/>
      <w:r>
        <w:t xml:space="preserve">CEQ25-PO - To what extent has the RDP contributed to achieving the EU 2020 headline target of reducing the number of Europeans living below </w:t>
      </w:r>
      <w:r>
        <w:t>the national poverty line?</w:t>
      </w:r>
      <w:bookmarkEnd w:id="161"/>
      <w:bookmarkEnd w:id="162"/>
      <w:bookmarkEnd w:id="163"/>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Приложен е контрафактологичен анализ за R2 -  Промени в селскостопанската продукция на подпомогнатите стопанства/ГРЕ (годишни работни единици), както следва:</w:t>
            </w:r>
          </w:p>
          <w:p w:rsidR="002B3815" w:rsidRDefault="0099452B">
            <w:pPr>
              <w:spacing w:before="240" w:after="240"/>
              <w:jc w:val="left"/>
              <w:rPr>
                <w:szCs w:val="24"/>
              </w:rPr>
            </w:pPr>
            <w:r>
              <w:rPr>
                <w:szCs w:val="24"/>
              </w:rPr>
              <w:t xml:space="preserve">Съотношението „Продукция на подпомогнатите </w:t>
            </w:r>
            <w:r>
              <w:rPr>
                <w:szCs w:val="24"/>
              </w:rPr>
              <w:t>стопанства / ГРЕ“, може на първо място, да бъде сравнено с аналогичното съотношение от общата статистика за сектора, по-конкретно: за 2015 г. - 7 504 Евро/ГРЕ; за 2016 г. - 7 543 Евро/ГРЕ; за 2017 г. – 7 670 Евро/ГРЕ; за 2018 г. – 7 559 Евро/ГРЕ. Съответно</w:t>
            </w:r>
            <w:r>
              <w:rPr>
                <w:szCs w:val="24"/>
              </w:rPr>
              <w:t xml:space="preserve"> стойността на R2, на национално равнище е 55 Евро / ГРЕ и представлява  разликата – промяната на селскостопанската продукция /ГРЕ, за периода между 2015г. и 2018г. на национално ниво.</w:t>
            </w:r>
          </w:p>
          <w:p w:rsidR="002B3815" w:rsidRDefault="0099452B">
            <w:pPr>
              <w:spacing w:before="240" w:after="240"/>
              <w:jc w:val="left"/>
              <w:rPr>
                <w:szCs w:val="24"/>
              </w:rPr>
            </w:pPr>
            <w:r>
              <w:rPr>
                <w:szCs w:val="24"/>
              </w:rPr>
              <w:t>Източник:</w:t>
            </w:r>
          </w:p>
          <w:p w:rsidR="002B3815" w:rsidRDefault="0099452B">
            <w:pPr>
              <w:spacing w:before="240" w:after="240"/>
              <w:jc w:val="left"/>
              <w:rPr>
                <w:szCs w:val="24"/>
              </w:rPr>
            </w:pPr>
            <w:r>
              <w:rPr>
                <w:szCs w:val="24"/>
              </w:rPr>
              <w:t>Относно Селскостопанско производство:</w:t>
            </w:r>
          </w:p>
          <w:p w:rsidR="002B3815" w:rsidRDefault="0099452B">
            <w:pPr>
              <w:spacing w:before="240" w:after="240"/>
              <w:jc w:val="left"/>
              <w:rPr>
                <w:szCs w:val="24"/>
              </w:rPr>
            </w:pPr>
            <w:r>
              <w:rPr>
                <w:szCs w:val="24"/>
              </w:rPr>
              <w:t>http://www.nsi.bg/bg/co</w:t>
            </w:r>
            <w:r>
              <w:rPr>
                <w:szCs w:val="24"/>
              </w:rPr>
              <w:t>ntent/889/икономически-сметки-за-селското-стопанство - Икономически сметки по години, файл Agr4.3.xls , ред 73 - за години 2015-2017, а за 2018г. – от Втора оценка за селскостопанската продукция, ред „Продукция на селскостопански стоки“, като данните се пр</w:t>
            </w:r>
            <w:r>
              <w:rPr>
                <w:szCs w:val="24"/>
              </w:rPr>
              <w:t>евеждат от лв. в Евро;</w:t>
            </w:r>
          </w:p>
          <w:p w:rsidR="002B3815" w:rsidRDefault="0099452B">
            <w:pPr>
              <w:spacing w:before="240" w:after="240"/>
              <w:jc w:val="left"/>
              <w:rPr>
                <w:szCs w:val="24"/>
              </w:rPr>
            </w:pPr>
            <w:r>
              <w:rPr>
                <w:szCs w:val="24"/>
              </w:rPr>
              <w:t>Относно Отработено време: http://www.nsi.bg/bg/content/2248/отработени-човекочасове-национално-ниво  файл:  GDP_2.1.2_ESA_2010.xls, като данните се превеждат от човекочасове. в ГРЕ чрез разделяна на дадената стойност на 1856.</w:t>
            </w:r>
          </w:p>
          <w:p w:rsidR="002B3815" w:rsidRDefault="0099452B">
            <w:pPr>
              <w:spacing w:before="240" w:after="240"/>
              <w:jc w:val="left"/>
              <w:rPr>
                <w:szCs w:val="24"/>
              </w:rPr>
            </w:pPr>
            <w:r>
              <w:rPr>
                <w:szCs w:val="24"/>
              </w:rPr>
              <w:t xml:space="preserve">Освен </w:t>
            </w:r>
            <w:r>
              <w:rPr>
                <w:szCs w:val="24"/>
              </w:rPr>
              <w:t xml:space="preserve">това са приложени и насоките от фишовете за изчисляване на индикатори за резултати за стълб II. Тези насоки препоръчват контрафактологичен анализ на индикатора R2 на предприятията подпомогнати от ПРСР спрямо R2 на предприятията, които са кандидатствали по </w:t>
            </w:r>
            <w:r>
              <w:rPr>
                <w:szCs w:val="24"/>
              </w:rPr>
              <w:t>ПРСР, но са отхвърлени. Изчислението е направено на база резултати от анкета. Поканени са последните 100 предприятия класирани по под-мярка 4.1, 6.1 и 6.3, които са получили финансиране, както и първите отхвърлени 100 предприятия /извън класацията/ по същи</w:t>
            </w:r>
            <w:r>
              <w:rPr>
                <w:szCs w:val="24"/>
              </w:rPr>
              <w:t>те мерки. Резултатите от анкетата са последващо екстраполирани до ниво популация от бенефициенти и съответно - популация от кандидати, участвали в подбора. Приложени са коефициенти за тежест според икономическия размер на стопанствата, в зависимост от обща</w:t>
            </w:r>
            <w:r>
              <w:rPr>
                <w:szCs w:val="24"/>
              </w:rPr>
              <w:t>та стандартна продукция СП, в евро за 12-месечен период. Тежестта на R2 на различните по размер стопанства в общия представителен R2 за бенефициенти и в съответния R2 на отхвърлените кандидати/не бенефициенти, e изчислен от предоставените от ДФЗ-РА бази да</w:t>
            </w:r>
            <w:r>
              <w:rPr>
                <w:szCs w:val="24"/>
              </w:rPr>
              <w:t>нни. Изключени са стойностите извън интервала на стандартно статистическо отклонение от средната стойност, при работа с данните заявени от анкетираните, за производството и разходите,. Наблюдава се, че при по-големите стопанства R2 е с цял порядък по-висок</w:t>
            </w:r>
            <w:r>
              <w:rPr>
                <w:szCs w:val="24"/>
              </w:rPr>
              <w:t xml:space="preserve"> от R2 на малките стопанства. Освен това, при по-големите стопанства – тези от класове IX – XIV (/Бел. Класът е съгласно Регламент за изпълнение (ЕС) 2015/220), се наблюдава прехвърляне на разходи и приходи от една година в друга, което силно може да дефор</w:t>
            </w:r>
            <w:r>
              <w:rPr>
                <w:szCs w:val="24"/>
              </w:rPr>
              <w:t>мира индикатора R2 за тях. Тъй като именно тези стопанства влияят най-силно на стойността на индикатора, независимо че делът им в популацията е само 14.39%, целенасочено са изследвани по-голям брой от тях и е изчислена усреднена стойност, за да се постигне</w:t>
            </w:r>
            <w:r>
              <w:rPr>
                <w:szCs w:val="24"/>
              </w:rPr>
              <w:t xml:space="preserve"> по-достоверна и представително съотношение на производство / ГРЕ за тези предприятия. Резултатите са следните:</w:t>
            </w:r>
          </w:p>
          <w:p w:rsidR="002B3815" w:rsidRDefault="0099452B">
            <w:pPr>
              <w:spacing w:before="240" w:after="240"/>
              <w:jc w:val="left"/>
              <w:rPr>
                <w:szCs w:val="24"/>
              </w:rPr>
            </w:pPr>
            <w:r>
              <w:rPr>
                <w:szCs w:val="24"/>
              </w:rPr>
              <w:t>R2 за бенефициенти:  2 432 Евро/ГРЕ – екстраполирана стойност до популацията от бенефициенти. Тази стойност означава, че в периода 2015-2018г. п</w:t>
            </w:r>
            <w:r>
              <w:rPr>
                <w:szCs w:val="24"/>
              </w:rPr>
              <w:t>роизводството на 1 зает е нараснало с 2 432 Евро средно, при стопанства подкрепени от ПРСР (Бел. Важно е да се има предвид, че R2 не е производството на 1 ГРЕ, а неговото увеличение/намаление за периода. Самото Производство/ГРЕ е 26 607 Евро/ГРЕ, съответно</w:t>
            </w:r>
            <w:r>
              <w:rPr>
                <w:szCs w:val="24"/>
              </w:rPr>
              <w:t xml:space="preserve"> БДС/ГРЕ - 19 500 Евро/ГРЕ - усреднени претеглени стойност, при стопанствата подпомогнати по ПРСР към 2018г. Стойностите за целия селскостопански сектор очаквано са значително по-ниски, съответно: Производство/ГРЕ – 9 325 Евро/ГРЕ и  БДС/ГРЕ – 4 022 Евро /</w:t>
            </w:r>
            <w:r>
              <w:rPr>
                <w:szCs w:val="24"/>
              </w:rPr>
              <w:t>ГРЕ. Разликата между резултатите на ПРСР и националната статистика за сектора се дължат, както на критериите за подбор на бенефициенти, така и на обстоятелството, че националната статистика по същество събира данни за предприятия заедно с данни за домакинс</w:t>
            </w:r>
            <w:r>
              <w:rPr>
                <w:szCs w:val="24"/>
              </w:rPr>
              <w:t>тва и ги осреднява. Преобладаващата част от „стопанствата“ в страната всъщност не са предприятия, а традиционна форма на съществуване на населението в селските райони, т.е. повечето „стопани“ не произвеждат за пазара, а продават излишъка си. По данни на МЗ</w:t>
            </w:r>
            <w:r>
              <w:rPr>
                <w:szCs w:val="24"/>
              </w:rPr>
              <w:t>ХГ, от 201 000 стопанства общо в страната при преброяването през 2016г., 104 898 са именно  такива - от Клас I -  с  икономически размер по-малко от 2 000 Евро за 12 месеца.</w:t>
            </w:r>
          </w:p>
          <w:p w:rsidR="002B3815" w:rsidRDefault="0099452B">
            <w:pPr>
              <w:spacing w:before="240" w:after="240"/>
              <w:jc w:val="left"/>
              <w:rPr>
                <w:szCs w:val="24"/>
              </w:rPr>
            </w:pPr>
            <w:r>
              <w:rPr>
                <w:szCs w:val="24"/>
              </w:rPr>
              <w:t>R2 за не-бенефициенти – екстраполираната стойност до популацията от отхвърлени кан</w:t>
            </w:r>
            <w:r>
              <w:rPr>
                <w:szCs w:val="24"/>
              </w:rPr>
              <w:t>дидати / не-бенефициенти е отрицателна, означаващо, че отхвърлените кандидати са търсели подпомагане от ПРСР, с цел укрепване на финансовото си положение и като не са били подпомогнати, са влошили своята производителност. При небенефициентите, стойността н</w:t>
            </w:r>
            <w:r>
              <w:rPr>
                <w:szCs w:val="24"/>
              </w:rPr>
              <w:t>а R2 е отрицателна -  1 377 Евро/ГРЕ. Тази стойност означава, че в периода 2015-2018г. производството на 1 зает е намаляло с 1 377 Евро средно, при стопанства които не са били подкрепени от ПРСР;</w:t>
            </w:r>
          </w:p>
          <w:p w:rsidR="002B3815" w:rsidRDefault="0099452B">
            <w:pPr>
              <w:spacing w:before="240" w:after="240"/>
              <w:jc w:val="left"/>
              <w:rPr>
                <w:szCs w:val="24"/>
              </w:rPr>
            </w:pPr>
            <w:r>
              <w:rPr>
                <w:szCs w:val="24"/>
              </w:rPr>
              <w:t>Нетният ефект от ПРСР в промяната на R2, е 3 809 Евро/ГРЕ  С</w:t>
            </w:r>
            <w:r>
              <w:rPr>
                <w:szCs w:val="24"/>
              </w:rPr>
              <w:t>тойността означава, че подпомогнатите от ПРСР предприятия, в периода 2015-2018г са увеличили продажбите си на 1 зает с 3 809 Евро спрямо сходни на тях предприятия, които не са били подпомогнати,</w:t>
            </w:r>
          </w:p>
          <w:p w:rsidR="002B3815" w:rsidRDefault="0099452B">
            <w:pPr>
              <w:spacing w:before="240" w:after="240"/>
              <w:jc w:val="left"/>
              <w:rPr>
                <w:szCs w:val="24"/>
              </w:rPr>
            </w:pPr>
            <w:r>
              <w:rPr>
                <w:szCs w:val="24"/>
              </w:rPr>
              <w:t xml:space="preserve">R2 за целия селскостопански сектор на национално равнище: 55 </w:t>
            </w:r>
            <w:r>
              <w:rPr>
                <w:szCs w:val="24"/>
              </w:rPr>
              <w:t>Евро / ГРЕ;</w:t>
            </w:r>
          </w:p>
          <w:p w:rsidR="002B3815" w:rsidRDefault="0099452B">
            <w:pPr>
              <w:spacing w:before="240" w:after="240"/>
              <w:jc w:val="left"/>
              <w:rPr>
                <w:szCs w:val="24"/>
              </w:rPr>
            </w:pPr>
            <w:r>
              <w:rPr>
                <w:szCs w:val="24"/>
              </w:rPr>
              <w:t>Принос на ПРСР в стойността на R2 на национално ниво:        42 Евро /ГРЕ.</w:t>
            </w:r>
          </w:p>
          <w:p w:rsidR="002B3815" w:rsidRDefault="0099452B">
            <w:pPr>
              <w:spacing w:before="240" w:after="240"/>
              <w:jc w:val="left"/>
              <w:rPr>
                <w:szCs w:val="24"/>
              </w:rPr>
            </w:pPr>
            <w:r>
              <w:rPr>
                <w:szCs w:val="24"/>
              </w:rPr>
              <w:t>Показател R2 на национално ниво показва, че нито производството, нито производителността в селското стопанство са се изменили чувствително на секторно ниво за продължите</w:t>
            </w:r>
            <w:r>
              <w:rPr>
                <w:szCs w:val="24"/>
              </w:rPr>
              <w:t>лен период от време. В сравнение с националния показател R2 - 55 Евро / ГРЕ, този на бенефициентите на ПРСР е R2 = 2 432 Евро/ГРЕ, докато сходните предприятия, които не са получили подкрепа от ПРСР са влошили своята производителност. Техният показател R2 е</w:t>
            </w:r>
            <w:r>
              <w:rPr>
                <w:szCs w:val="24"/>
              </w:rPr>
              <w:t xml:space="preserve"> отрицателен, но точната му стойност в Евро/ГРЕ е със спорна представителност, защото R2 не дава вярна представа за икономиката, в случаите когато работодателите държат излишна работна ръка, тъй като тогава намалението в  производството се дели на повече Г</w:t>
            </w:r>
            <w:r>
              <w:rPr>
                <w:szCs w:val="24"/>
              </w:rPr>
              <w:t>РЕ и така изглежда, че е по-малко. </w:t>
            </w:r>
          </w:p>
          <w:p w:rsidR="002B3815" w:rsidRDefault="0099452B">
            <w:pPr>
              <w:spacing w:before="240" w:after="240"/>
              <w:jc w:val="left"/>
              <w:rPr>
                <w:szCs w:val="24"/>
              </w:rPr>
            </w:pPr>
            <w:r>
              <w:rPr>
                <w:szCs w:val="24"/>
              </w:rPr>
              <w:t xml:space="preserve">Производителността на национално ниво, като величина представляваща БДС на една годишна работна единица (ГРЕ), не бележи никакво съществено увеличение през последните 6 години. Например,  в периода между 2010 и 2012 г., </w:t>
            </w:r>
            <w:r>
              <w:rPr>
                <w:szCs w:val="24"/>
              </w:rPr>
              <w:t>тя е средно 3 825,9 евро / ГРЕ,  т.е. 26% от ЕС-27 /както се сочи и на стр.30 от ПРСР 2014-2020 г.), през 2015г. тя е дори по-ниска - 3 587 Евро / ГРЕ, а през 2018г., т.е. за 8 години, тя незначително е нараснала – до 4 022 Евро / ГРЕ. </w:t>
            </w:r>
          </w:p>
          <w:p w:rsidR="002B3815" w:rsidRDefault="0099452B">
            <w:pPr>
              <w:spacing w:before="240" w:after="240"/>
              <w:jc w:val="left"/>
              <w:rPr>
                <w:szCs w:val="24"/>
              </w:rPr>
            </w:pPr>
            <w:r>
              <w:rPr>
                <w:szCs w:val="24"/>
              </w:rPr>
              <w:t>Изводът се потвържд</w:t>
            </w:r>
            <w:r>
              <w:rPr>
                <w:szCs w:val="24"/>
              </w:rPr>
              <w:t>ава от макроикономическата статистика на НСИ – данни за брутна добавена стойност за единица време - БДС/ГРЕ.</w:t>
            </w:r>
          </w:p>
          <w:p w:rsidR="002B3815" w:rsidRDefault="0099452B">
            <w:pPr>
              <w:spacing w:before="240" w:after="240"/>
              <w:jc w:val="left"/>
              <w:rPr>
                <w:szCs w:val="24"/>
              </w:rPr>
            </w:pPr>
            <w:r>
              <w:rPr>
                <w:szCs w:val="24"/>
              </w:rPr>
              <w:t>Освен това е видно и намалението на процента хора от 41,3% през 2015 до 32,8% през 2018 г., живеещи под прага на бедност в селските райони на нацио</w:t>
            </w:r>
            <w:r>
              <w:rPr>
                <w:szCs w:val="24"/>
              </w:rPr>
              <w:t>нално ниво.</w:t>
            </w:r>
          </w:p>
          <w:p w:rsidR="002B3815" w:rsidRDefault="0099452B">
            <w:pPr>
              <w:spacing w:before="240" w:after="240"/>
              <w:jc w:val="left"/>
              <w:rPr>
                <w:szCs w:val="24"/>
              </w:rPr>
            </w:pPr>
            <w:r>
              <w:rPr>
                <w:szCs w:val="24"/>
              </w:rPr>
              <w:t>Всичко казано потвърждава приноса на ПРСР 2014-2020 година при достигане на цел Европа 2020 по отношение намаляване на броя на европейците, живеещи под националната линия на бедност.</w:t>
            </w:r>
          </w:p>
          <w:p w:rsidR="002B3815" w:rsidRDefault="002B3815">
            <w:pPr>
              <w:pStyle w:val="BodyText"/>
            </w:pPr>
          </w:p>
        </w:tc>
      </w:tr>
    </w:tbl>
    <w:p w:rsidR="002B3815" w:rsidRDefault="0099452B">
      <w:pPr>
        <w:pStyle w:val="Heading3"/>
        <w:jc w:val="left"/>
      </w:pPr>
      <w:bookmarkStart w:id="164" w:name="_Toc256000217"/>
      <w:bookmarkStart w:id="165" w:name="_Toc256000135"/>
      <w:bookmarkStart w:id="166" w:name="_Toc256000053"/>
      <w:r>
        <w:t xml:space="preserve">CEQ26-BI - To what extent has the RDP contributed to </w:t>
      </w:r>
      <w:r>
        <w:t>improving the environment and to achieving the EU biodiversity strategy target of halting the loss of biodiversity and the degradation of ecosystem services, and to restore them?</w:t>
      </w:r>
      <w:bookmarkEnd w:id="164"/>
      <w:bookmarkEnd w:id="165"/>
      <w:bookmarkEnd w:id="166"/>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Съгласно доклад на генерална дирекция „Околна </w:t>
            </w:r>
            <w:r>
              <w:rPr>
                <w:szCs w:val="24"/>
              </w:rPr>
              <w:t>среда“ относно Преглед на изпълнението на политиките на ЕС в областта на околната среда от 2019 г.  моделът RUSLE201539 България показва среден процент загуби на почва в резултат на ерозия под действието на водата от 2,05 тона на хектар годишно (t ha−a г−г</w:t>
            </w:r>
            <w:r>
              <w:rPr>
                <w:szCs w:val="24"/>
              </w:rPr>
              <w:t>) в сравнение със средна стойност от 2,46 t ha−a г−г за ЕС. Това показва, че ерозията на почвата е на средно равнище. Следва да се отбележи, че тези стойности са резултат от модел на равнище ЕС и следователно не могат да се разглеждат като стойности, измер</w:t>
            </w:r>
            <w:r>
              <w:rPr>
                <w:szCs w:val="24"/>
              </w:rPr>
              <w:t>ени на местно ниво. Отчетените количества емисиите и поглъщанията от горите по Протокола от Киото за България показват, че в периода 2013—2016 г. нетното поглъщане е било средно – 7,1 милиона тона еквивалент на CO2. В тази връзка България допринася с около</w:t>
            </w:r>
            <w:r>
              <w:rPr>
                <w:szCs w:val="24"/>
              </w:rPr>
              <w:t xml:space="preserve"> 1,9 % към средно годишния поглътител на ЕС28 от – 384,4 милиона тона еквивалент на CO2. Данните за същия период показват нетен дебит от средно 0,8 милиона тона еквивалент на CO2, което съответства на отрицателен принос от – 0,7 % от отчитания поглътител н</w:t>
            </w:r>
            <w:r>
              <w:rPr>
                <w:szCs w:val="24"/>
              </w:rPr>
              <w:t>а ЕС-28 от – 115,7 милиона тона еквивалент на CO2. България е една от шестте държави — членки на ЕС, които показват нетни дебити в това предварително отчитане. Отчетените нетни поглъщания показват незначителни изменения без определена тенденция, докато отч</w:t>
            </w:r>
            <w:r>
              <w:rPr>
                <w:szCs w:val="24"/>
              </w:rPr>
              <w:t>етените нетни дебити показват същите изменения с леки тенденции към намаляване.</w:t>
            </w:r>
          </w:p>
          <w:p w:rsidR="002B3815" w:rsidRDefault="0099452B">
            <w:pPr>
              <w:spacing w:before="240" w:after="240"/>
              <w:jc w:val="left"/>
              <w:rPr>
                <w:szCs w:val="24"/>
              </w:rPr>
            </w:pPr>
            <w:r>
              <w:rPr>
                <w:szCs w:val="24"/>
              </w:rPr>
              <w:t xml:space="preserve">България е определила 233 защитени зони по „Натура 2000“ в съответствие с Директивата за местообитанията (територия от значение за Общността/ТЗО). Определени са и 119 защитени </w:t>
            </w:r>
            <w:r>
              <w:rPr>
                <w:szCs w:val="24"/>
              </w:rPr>
              <w:t>зони по „Натура 2000“ в съответствие с Директивата за птиците (специални защитени зони/СЗЗ). ТЗО и СЗЗ обхващат 41 053,2 km2 от територията на България, от които 38 231,84 km2 са разположени на сушата, а 2 821,35 km2 принадлежат към морската територия.</w:t>
            </w:r>
          </w:p>
          <w:p w:rsidR="002B3815" w:rsidRDefault="0099452B">
            <w:pPr>
              <w:spacing w:before="240" w:after="240"/>
              <w:jc w:val="left"/>
              <w:rPr>
                <w:szCs w:val="24"/>
              </w:rPr>
            </w:pPr>
            <w:r>
              <w:rPr>
                <w:szCs w:val="24"/>
              </w:rPr>
              <w:t>Мре</w:t>
            </w:r>
            <w:r>
              <w:rPr>
                <w:szCs w:val="24"/>
              </w:rPr>
              <w:t>жата „Натура 2000“ в България включва 90 типа местообитания и 121 вида, различни от птици — в това число 28 приоритетни местообитания и 8 приоритетни вида, както и 120 птици и 70 прелетни птици.</w:t>
            </w:r>
          </w:p>
          <w:p w:rsidR="002B3815" w:rsidRDefault="0099452B">
            <w:pPr>
              <w:spacing w:before="240" w:after="240"/>
              <w:jc w:val="left"/>
              <w:rPr>
                <w:szCs w:val="24"/>
              </w:rPr>
            </w:pPr>
            <w:r>
              <w:rPr>
                <w:szCs w:val="24"/>
              </w:rPr>
              <w:t>Сухоземната част на „Натура 2000“ за птиците е почти завършен</w:t>
            </w:r>
            <w:r>
              <w:rPr>
                <w:szCs w:val="24"/>
              </w:rPr>
              <w:t>а с едно изключение. В решение на Съда на ЕС от 2018 г. е потвърдено, че България не е определила достатъчно територии в Рила за защита на 17 вида птици (C-97/17). С изпълнението на това решение сухоземната част на мрежата за птиците може да се счита за за</w:t>
            </w:r>
            <w:r>
              <w:rPr>
                <w:szCs w:val="24"/>
              </w:rPr>
              <w:t>вършена. </w:t>
            </w:r>
          </w:p>
          <w:p w:rsidR="002B3815" w:rsidRDefault="0099452B">
            <w:pPr>
              <w:spacing w:before="240" w:after="240"/>
              <w:jc w:val="left"/>
              <w:rPr>
                <w:szCs w:val="24"/>
              </w:rPr>
            </w:pPr>
            <w:r>
              <w:rPr>
                <w:szCs w:val="24"/>
              </w:rPr>
              <w:t xml:space="preserve">Все още има пропуски в мрежата съгласно Директивата за местообитанията, по отношение на които България трябва да предприеме действия. Тези действия се отнасят както до липсващите територии за Ursus arctos и Cottus gobio в Рила, така и до няколко </w:t>
            </w:r>
            <w:r>
              <w:rPr>
                <w:szCs w:val="24"/>
              </w:rPr>
              <w:t>други характеристики на сухоземната територия.</w:t>
            </w:r>
          </w:p>
          <w:p w:rsidR="002B3815" w:rsidRDefault="0099452B">
            <w:pPr>
              <w:spacing w:before="240" w:after="240"/>
              <w:jc w:val="left"/>
              <w:rPr>
                <w:szCs w:val="24"/>
              </w:rPr>
            </w:pPr>
            <w:r>
              <w:rPr>
                <w:szCs w:val="24"/>
              </w:rPr>
              <w:t>България все още не е изпълнила задълженията си по член 4, параграф 4 от Директивата за местообитанията за определяне на ТЗО като специални защитени зони (СЗЗ), и по член 6, параграф 1 за определяне на специфи</w:t>
            </w:r>
            <w:r>
              <w:rPr>
                <w:szCs w:val="24"/>
              </w:rPr>
              <w:t>чни за защитените зони природозащитни цели и установяване на природозащитни мерки за тях, така че видовете и местообитанията от интерес за Общността да се поддържат или възстановят до благоприятен природозащитен статус в целия им естествен ареал. Към септе</w:t>
            </w:r>
            <w:r>
              <w:rPr>
                <w:szCs w:val="24"/>
              </w:rPr>
              <w:t>мври 2018 г. са били публикувани заповедите за определяне на само 9 от 233 ТЗО.</w:t>
            </w:r>
          </w:p>
          <w:p w:rsidR="002B3815" w:rsidRDefault="0099452B">
            <w:pPr>
              <w:spacing w:before="240" w:after="240"/>
              <w:jc w:val="left"/>
              <w:rPr>
                <w:szCs w:val="24"/>
              </w:rPr>
            </w:pPr>
            <w:r>
              <w:rPr>
                <w:szCs w:val="24"/>
              </w:rPr>
              <w:t>За всяка държава членка Комисията преценява дали видовете и типовете местообитания в приложения I и II към Директивата за местообитанията са достатъчно добре представени в опре</w:t>
            </w:r>
            <w:r>
              <w:rPr>
                <w:szCs w:val="24"/>
              </w:rPr>
              <w:t>делените към днешна дата зони. Това се изразява като процент от видовете и местообитанията, за които трябва да бъдат определени допълнителни зони, за да се допълни мрежата в съответната държава.</w:t>
            </w:r>
          </w:p>
          <w:p w:rsidR="002B3815" w:rsidRDefault="0099452B">
            <w:pPr>
              <w:spacing w:before="240" w:after="240"/>
              <w:jc w:val="left"/>
              <w:rPr>
                <w:szCs w:val="24"/>
              </w:rPr>
            </w:pPr>
            <w:r>
              <w:rPr>
                <w:szCs w:val="24"/>
              </w:rPr>
              <w:t>Въз основа на събрана и анализирана информация в рамките на М</w:t>
            </w:r>
            <w:r>
              <w:rPr>
                <w:szCs w:val="24"/>
              </w:rPr>
              <w:t>ониторинга на обикновените видове птици, съгласно данни на Изпълнителна агенция по околна среда за периода 2005-2017 година се наблюдава тенденция в намаляване на видовете обитаващи земедеските земи с 27%. От 27 вида обитаващи земеделските земи, за 18 вида</w:t>
            </w:r>
            <w:r>
              <w:rPr>
                <w:szCs w:val="24"/>
              </w:rPr>
              <w:t xml:space="preserve"> е направено изчисление на индекса на земеделските видове птици. С най-значителни отрицателни тенденции са посевната врана – 94% и конопарчето -73%. С отрицателна тенденция в числеността на още 6 вида птици от селскостопанските земи. Запазва се увеличениет</w:t>
            </w:r>
            <w:r>
              <w:rPr>
                <w:szCs w:val="24"/>
              </w:rPr>
              <w:t>о на числеността на голямото белогушо  коприварче 266%. С положителна тенденция са обще яребицата и градинската овесарка. 7 вида, типични за този тип местообитания, са със стабилна численост.</w:t>
            </w:r>
          </w:p>
          <w:p w:rsidR="002B3815" w:rsidRDefault="0099452B">
            <w:pPr>
              <w:spacing w:before="240" w:after="240"/>
              <w:jc w:val="left"/>
              <w:rPr>
                <w:szCs w:val="24"/>
              </w:rPr>
            </w:pPr>
            <w:r>
              <w:rPr>
                <w:szCs w:val="24"/>
              </w:rPr>
              <w:t>Текущите данни, които бяха подложени на оценка през периода 2014</w:t>
            </w:r>
            <w:r>
              <w:rPr>
                <w:szCs w:val="24"/>
              </w:rPr>
              <w:t>—2015 г., отразяват положението до декември 2013 г. Това интегриране е особено важно за селското стопанство. Данните сочат, че редица пасища с висока природна стойност в България са били сериозно увредени, особено в редица зони по „Натура 2000“.</w:t>
            </w:r>
          </w:p>
          <w:p w:rsidR="002B3815" w:rsidRDefault="0099452B">
            <w:pPr>
              <w:spacing w:before="240" w:after="240"/>
              <w:jc w:val="left"/>
              <w:rPr>
                <w:szCs w:val="24"/>
              </w:rPr>
            </w:pPr>
            <w:r>
              <w:rPr>
                <w:szCs w:val="24"/>
              </w:rPr>
              <w:t xml:space="preserve">Все още е </w:t>
            </w:r>
            <w:r>
              <w:rPr>
                <w:szCs w:val="24"/>
              </w:rPr>
              <w:t>необходимо да се организират прояви за разясняване на „Натура 2000“, нейните цели, задълженията, възможностите и ползите от нея на национално и на регионално равнище — особено в районите, в които се наблюдава съпротива срещу тази мрежа, за да се спомогне з</w:t>
            </w:r>
            <w:r>
              <w:rPr>
                <w:szCs w:val="24"/>
              </w:rPr>
              <w:t>а преодоляване на отрицателните нагласи и за получаване на подкрепа от местното население.</w:t>
            </w:r>
          </w:p>
          <w:p w:rsidR="002B3815" w:rsidRDefault="0099452B">
            <w:pPr>
              <w:spacing w:before="240" w:after="240"/>
              <w:jc w:val="left"/>
              <w:rPr>
                <w:szCs w:val="24"/>
              </w:rPr>
            </w:pPr>
            <w:r>
              <w:rPr>
                <w:szCs w:val="24"/>
              </w:rPr>
              <w:t>Тъй като държавите членки представят доклади за напредъка при прилагането на двете директиви на всеки шест години , не е получена нова информация за състоянието на п</w:t>
            </w:r>
            <w:r>
              <w:rPr>
                <w:szCs w:val="24"/>
              </w:rPr>
              <w:t>риродните местообитания и видовете, нито за напредъка, постигнат в подобряването на природозащитния статус на видовете и местообитанията в България, в сравнение с доклада за България в рамките на ПИПООС от 2017 г.</w:t>
            </w:r>
          </w:p>
          <w:p w:rsidR="002B3815" w:rsidRDefault="0099452B">
            <w:pPr>
              <w:spacing w:before="240" w:after="240"/>
              <w:jc w:val="left"/>
              <w:rPr>
                <w:szCs w:val="24"/>
              </w:rPr>
            </w:pPr>
            <w:r>
              <w:rPr>
                <w:szCs w:val="24"/>
              </w:rPr>
              <w:t xml:space="preserve">Съгласно базата данни CORINE Land Cover в </w:t>
            </w:r>
            <w:r>
              <w:rPr>
                <w:szCs w:val="24"/>
              </w:rPr>
              <w:t>периода 2006—2012 г. годишният темп на усвояване на земя (растеж на изкуствените площи) в България е бил 0,14 % , което е много под средното ниво за ЕС (0,41 %). Този темп се изразява в 755 хектара годишно (основно мини, кариери и сметища), като въздействи</w:t>
            </w:r>
            <w:r>
              <w:rPr>
                <w:szCs w:val="24"/>
              </w:rPr>
              <w:t>е върху него оказват също така секторите на жилищното строителство, услугите и развлеченията.</w:t>
            </w:r>
          </w:p>
          <w:p w:rsidR="002B3815" w:rsidRDefault="0099452B">
            <w:pPr>
              <w:spacing w:before="240" w:after="240"/>
              <w:jc w:val="left"/>
              <w:rPr>
                <w:szCs w:val="24"/>
              </w:rPr>
            </w:pPr>
            <w:r>
              <w:rPr>
                <w:szCs w:val="24"/>
              </w:rPr>
              <w:t>Процентът на изкуствените земи в България може да се разглежда като мярка за относителния натиск върху природата и биологичното разнообразие, както и за екологичн</w:t>
            </w:r>
            <w:r>
              <w:rPr>
                <w:szCs w:val="24"/>
              </w:rPr>
              <w:t>ия натиск върху хората, живеещи в урбанизираните райони. Подобна мярка представлява и гъстотата на населението.</w:t>
            </w:r>
          </w:p>
          <w:p w:rsidR="002B3815" w:rsidRDefault="0099452B">
            <w:pPr>
              <w:spacing w:before="240" w:after="240"/>
              <w:jc w:val="left"/>
              <w:rPr>
                <w:szCs w:val="24"/>
              </w:rPr>
            </w:pPr>
            <w:r>
              <w:rPr>
                <w:szCs w:val="24"/>
              </w:rPr>
              <w:t>Делът на изкуственото земно покритие в България е 1,8 %, т.е. под средния за ЕС-28 показател от 4,1 %. Гъстотата на населението е 64,8/km2, коет</w:t>
            </w:r>
            <w:r>
              <w:rPr>
                <w:szCs w:val="24"/>
              </w:rPr>
              <w:t>о е далеч под средната за ЕС стойност — 11837.</w:t>
            </w:r>
          </w:p>
          <w:p w:rsidR="002B3815" w:rsidRDefault="0099452B">
            <w:pPr>
              <w:spacing w:before="240" w:after="240"/>
              <w:jc w:val="left"/>
              <w:rPr>
                <w:szCs w:val="24"/>
              </w:rPr>
            </w:pPr>
            <w:r>
              <w:rPr>
                <w:szCs w:val="24"/>
              </w:rPr>
              <w:t>Замърсяването може сериозно да намали качеството на почвата и да застраши здравето на човека или околната среда. В неотдавнашен доклад на Европейската комисия се посочва, че потенциално замърсяващи дейности са</w:t>
            </w:r>
            <w:r>
              <w:rPr>
                <w:szCs w:val="24"/>
              </w:rPr>
              <w:t xml:space="preserve"> извършвани или все още се извършват на около 2,8 милиона обекта в ЕС. България е регистрирала 26 обекта, в които са извършвани или се извършват потенциално замърсяващи дейности, и вече е възстановила или приложила мерки за последваща грижа на 20 обекта.</w:t>
            </w:r>
          </w:p>
          <w:p w:rsidR="002B3815" w:rsidRDefault="0099452B">
            <w:pPr>
              <w:spacing w:before="240" w:after="240"/>
              <w:jc w:val="left"/>
              <w:rPr>
                <w:szCs w:val="24"/>
              </w:rPr>
            </w:pPr>
            <w:r>
              <w:rPr>
                <w:szCs w:val="24"/>
              </w:rPr>
              <w:t>М</w:t>
            </w:r>
            <w:r>
              <w:rPr>
                <w:szCs w:val="24"/>
              </w:rPr>
              <w:t>акар ерозията на почвите от водата да е естествен процес, той може да бъде утежнен от изменението на климата и някои човешки дейности, като например неподходящи земеделски практики, обезлесяване, горски пожари или строителни работи. Високите нива на ерозия</w:t>
            </w:r>
            <w:r>
              <w:rPr>
                <w:szCs w:val="24"/>
              </w:rPr>
              <w:t xml:space="preserve"> на почвата могат да намалят производителността в селското стопанство и да окажат отрицателно и трансгранично въздействие върху биологичното разнообразие, екосистемните услуги и реките и езерата (поради увеличените обеми на седиментите и преноса на замърси</w:t>
            </w:r>
            <w:r>
              <w:rPr>
                <w:szCs w:val="24"/>
              </w:rPr>
              <w:t>тели). Според модела RUSLE201539 България има среден процент загуби на почва в резултат на ерозия под действието на водата от 2,05 тона на хектар годишно (t ha−a г−г) в сравнение със средна стойност от 2,46 t ha−a г−г за ЕС. Това показва, че ерозията на по</w:t>
            </w:r>
            <w:r>
              <w:rPr>
                <w:szCs w:val="24"/>
              </w:rPr>
              <w:t>чвата е на средно равнище. Следва да се отбележи, че тези стойности са резултат от модел на равнище ЕС и следователно не могат да се разглеждат като стойности, измерени на местно ниво. В рамките на една и съща държава членка действителната степен на загуба</w:t>
            </w:r>
            <w:r>
              <w:rPr>
                <w:szCs w:val="24"/>
              </w:rPr>
              <w:t xml:space="preserve"> на почва може да варира силно в зависимост от местните условия.</w:t>
            </w:r>
          </w:p>
          <w:p w:rsidR="002B3815" w:rsidRDefault="0099452B">
            <w:pPr>
              <w:spacing w:before="240" w:after="240"/>
              <w:jc w:val="left"/>
              <w:rPr>
                <w:szCs w:val="24"/>
              </w:rPr>
            </w:pPr>
            <w:r>
              <w:rPr>
                <w:szCs w:val="24"/>
              </w:rPr>
              <w:t>България е приела второ поколение планове за управление на речните басейни съгласно Рамковата директива за водите и е представила съответните доклади. От своя страна, Европейската комисия е н</w:t>
            </w:r>
            <w:r>
              <w:rPr>
                <w:szCs w:val="24"/>
              </w:rPr>
              <w:t>аправила оценка на състоянието и развитието след приемането на първите планове за управление на речните басейни, включително на предложените действия в доклада за ПИПООС от 2017 г.</w:t>
            </w:r>
          </w:p>
          <w:p w:rsidR="002B3815" w:rsidRDefault="0099452B">
            <w:pPr>
              <w:spacing w:before="240" w:after="240"/>
              <w:jc w:val="left"/>
              <w:rPr>
                <w:szCs w:val="24"/>
              </w:rPr>
            </w:pPr>
            <w:r>
              <w:rPr>
                <w:szCs w:val="24"/>
              </w:rPr>
              <w:t>Реките в България са подложени най-вече на антропогенен натиск с неизвестен</w:t>
            </w:r>
            <w:r>
              <w:rPr>
                <w:szCs w:val="24"/>
              </w:rPr>
              <w:t xml:space="preserve"> произход (23 %), натиск от точкови източници на градски отпадъчни води (22 %) и дифузно замърсяване от земеделието (19 %). Най-значителен натиск върху подземните водни обекти оказват дифузното замърсяване от земеделието (50 %) и дифузното замърсяване в ре</w:t>
            </w:r>
            <w:r>
              <w:rPr>
                <w:szCs w:val="24"/>
              </w:rPr>
              <w:t>зултат на зауствания, които не са свързани с канализационната мрежа (49 %).</w:t>
            </w:r>
          </w:p>
          <w:p w:rsidR="002B3815" w:rsidRDefault="0099452B">
            <w:pPr>
              <w:spacing w:before="240" w:after="240"/>
              <w:jc w:val="left"/>
              <w:rPr>
                <w:szCs w:val="24"/>
              </w:rPr>
            </w:pPr>
            <w:r>
              <w:rPr>
                <w:szCs w:val="24"/>
              </w:rPr>
              <w:t>Основното въздействие върху повърхностните водни обекти е свързано със замърсяване с хранителни вещества (40 %) и органично замърсяване (25 %), а върху подземните води — със замърс</w:t>
            </w:r>
            <w:r>
              <w:rPr>
                <w:szCs w:val="24"/>
              </w:rPr>
              <w:t>яване с хранителни вещества (27 %) и химическо замърсяване (11 %). </w:t>
            </w:r>
          </w:p>
          <w:p w:rsidR="002B3815" w:rsidRDefault="0099452B">
            <w:pPr>
              <w:spacing w:before="240" w:after="240"/>
              <w:jc w:val="left"/>
              <w:rPr>
                <w:szCs w:val="24"/>
              </w:rPr>
            </w:pPr>
            <w:r>
              <w:rPr>
                <w:szCs w:val="24"/>
              </w:rPr>
              <w:t>Все още съществуват значителни пропуски както при установяването на референтни условия и елементи на качеството за всички категории води в България, така и при подлаганите на мониторинг ел</w:t>
            </w:r>
            <w:r>
              <w:rPr>
                <w:szCs w:val="24"/>
              </w:rPr>
              <w:t>ементи на качеството (например в езерата и преходните води не се извършва мониторинг на хидроморфологичните елементи на качеството). Регистрирано е увеличение на броя на обектите за наблюдение и експлоатация по отношение на екологичното състояние в реките,</w:t>
            </w:r>
            <w:r>
              <w:rPr>
                <w:szCs w:val="24"/>
              </w:rPr>
              <w:t xml:space="preserve"> преходните и крайбрежните води и намаляване на броя на обектите в езерата.  Екологичното състояние (екологичният потенциал) е добър или много добър в 46 % от всички класифицирани речни водни. Това показва, че България трябва да положи още много усилия, за</w:t>
            </w:r>
            <w:r>
              <w:rPr>
                <w:szCs w:val="24"/>
              </w:rPr>
              <w:t xml:space="preserve"> да постигне целите за добро състояние (добър потенциал), определени в Рамковата директива за водите.</w:t>
            </w:r>
          </w:p>
          <w:p w:rsidR="002B3815" w:rsidRDefault="0099452B">
            <w:pPr>
              <w:spacing w:before="240" w:after="240"/>
              <w:jc w:val="left"/>
              <w:rPr>
                <w:szCs w:val="24"/>
              </w:rPr>
            </w:pPr>
            <w:r>
              <w:rPr>
                <w:szCs w:val="24"/>
              </w:rPr>
              <w:t>Като цяло във втория план за управление на речните басейни в България се отчита нетно увеличение на броя на наблюдаваните обекти и водните обекти с наблюд</w:t>
            </w:r>
            <w:r>
              <w:rPr>
                <w:szCs w:val="24"/>
              </w:rPr>
              <w:t>авано химично състояние във всички водни категории.</w:t>
            </w:r>
          </w:p>
          <w:p w:rsidR="002B3815" w:rsidRDefault="0099452B">
            <w:pPr>
              <w:spacing w:before="240" w:after="240"/>
              <w:jc w:val="left"/>
              <w:rPr>
                <w:szCs w:val="24"/>
              </w:rPr>
            </w:pPr>
            <w:r>
              <w:rPr>
                <w:szCs w:val="24"/>
              </w:rPr>
              <w:t>Между първия и втория план за управление на речните басейни е отбелязан напредък в разработването на редица общи национални методики и ръководства за наблюдение и оценка на химичното състояние, но все още</w:t>
            </w:r>
            <w:r>
              <w:rPr>
                <w:szCs w:val="24"/>
              </w:rPr>
              <w:t xml:space="preserve"> остават някои въпроси, включително фактът, че много голяма част от водните обекти са с неизвестно състояние. Наблюдава се намаляване на дела на водните обекти с добро химично състояние и увеличаване на водните обекти с неизвестно състояние. До края на тре</w:t>
            </w:r>
            <w:r>
              <w:rPr>
                <w:szCs w:val="24"/>
              </w:rPr>
              <w:t>тия цикъл на планиране не се очаква да бъде изцяло постигнато добро химично състояние на повърхностните водни обекти.</w:t>
            </w:r>
          </w:p>
          <w:p w:rsidR="002B3815" w:rsidRDefault="0099452B">
            <w:pPr>
              <w:spacing w:before="240" w:after="240"/>
              <w:jc w:val="left"/>
              <w:rPr>
                <w:szCs w:val="24"/>
              </w:rPr>
            </w:pPr>
            <w:r>
              <w:rPr>
                <w:szCs w:val="24"/>
              </w:rPr>
              <w:t>Наблюдението на количественото състояние на подземните водни обекти показва наличието на общи проблеми, въпреки че положението в някои рай</w:t>
            </w:r>
            <w:r>
              <w:rPr>
                <w:szCs w:val="24"/>
              </w:rPr>
              <w:t>они на речни басейни се е подобрило; резултатите при промените в състоянието са нееднозначни — налице е както известно подобрение, така и известно влошаване. Оценката на количественото състояние на подземните води се е подобрила.</w:t>
            </w:r>
          </w:p>
          <w:p w:rsidR="002B3815" w:rsidRDefault="0099452B">
            <w:pPr>
              <w:spacing w:before="240" w:after="240"/>
              <w:jc w:val="left"/>
              <w:rPr>
                <w:szCs w:val="24"/>
              </w:rPr>
            </w:pPr>
            <w:r>
              <w:rPr>
                <w:szCs w:val="24"/>
              </w:rPr>
              <w:t xml:space="preserve">Броят на подземните водни </w:t>
            </w:r>
            <w:r>
              <w:rPr>
                <w:szCs w:val="24"/>
              </w:rPr>
              <w:t>обекти с недобро химично състояние са се увеличили спрямо първия план за управление на речните басейни — от 54 (31 %) на 58 (34 %). Възможно е класификацията на подземните водни обекти според химичното състояние да е била повлияна от прилагането на обща на</w:t>
            </w:r>
            <w:r>
              <w:rPr>
                <w:szCs w:val="24"/>
              </w:rPr>
              <w:t>ционална методика за оценка на химичното състояние и наличието на повече данни за анализ.</w:t>
            </w:r>
          </w:p>
          <w:p w:rsidR="002B3815" w:rsidRDefault="0099452B">
            <w:pPr>
              <w:spacing w:before="240" w:after="240"/>
              <w:jc w:val="left"/>
              <w:rPr>
                <w:szCs w:val="24"/>
              </w:rPr>
            </w:pPr>
            <w:r>
              <w:rPr>
                <w:szCs w:val="24"/>
              </w:rPr>
              <w:t xml:space="preserve">Според последния доклад за изпълнението на Директивата за нитратите за периода 2012—2015 г. качеството на подземните води се е влошило съвсем слабо спрямо предходния </w:t>
            </w:r>
            <w:r>
              <w:rPr>
                <w:szCs w:val="24"/>
              </w:rPr>
              <w:t>период на докладване. Процентът на станциите, в които съдържанието на нитрати достига или превишава 40 или 50 mg на литър, е нараснал съответно от 26,1 % на 26,8 % и от 18,1 % на 18,7 %. По отношение на концентрацията на нитрати в повърхностните води ситуа</w:t>
            </w:r>
            <w:r>
              <w:rPr>
                <w:szCs w:val="24"/>
              </w:rPr>
              <w:t>цията е сравнително стабилна, като се отчита известно подобрение при намаляването на еутрофикацията на повърхностните води.</w:t>
            </w:r>
          </w:p>
          <w:p w:rsidR="002B3815" w:rsidRDefault="0099452B">
            <w:pPr>
              <w:spacing w:before="240" w:after="240"/>
              <w:jc w:val="left"/>
              <w:rPr>
                <w:szCs w:val="24"/>
              </w:rPr>
            </w:pPr>
            <w:r>
              <w:rPr>
                <w:b/>
                <w:bCs/>
                <w:szCs w:val="24"/>
              </w:rPr>
              <w:t>Принос на ПРСР 2014-2020</w:t>
            </w:r>
          </w:p>
          <w:p w:rsidR="002B3815" w:rsidRDefault="0099452B">
            <w:pPr>
              <w:spacing w:before="240" w:after="240"/>
              <w:jc w:val="left"/>
              <w:rPr>
                <w:szCs w:val="24"/>
              </w:rPr>
            </w:pPr>
            <w:r>
              <w:rPr>
                <w:szCs w:val="24"/>
              </w:rPr>
              <w:t>Приоритети и области с поставен акцент Приоритет 4, област с поставен акцент 4A.</w:t>
            </w:r>
          </w:p>
          <w:p w:rsidR="002B3815" w:rsidRDefault="0099452B">
            <w:pPr>
              <w:spacing w:before="240" w:after="240"/>
              <w:jc w:val="left"/>
              <w:rPr>
                <w:szCs w:val="24"/>
              </w:rPr>
            </w:pPr>
            <w:r>
              <w:rPr>
                <w:szCs w:val="24"/>
              </w:rPr>
              <w:t xml:space="preserve">Относими мерки M01, M02, </w:t>
            </w:r>
            <w:r>
              <w:rPr>
                <w:szCs w:val="24"/>
              </w:rPr>
              <w:t>M04, M08, M10, M12, М13, M15, M16.</w:t>
            </w:r>
          </w:p>
          <w:p w:rsidR="002B3815" w:rsidRDefault="0099452B">
            <w:pPr>
              <w:spacing w:before="240" w:after="240"/>
              <w:jc w:val="left"/>
              <w:rPr>
                <w:szCs w:val="24"/>
              </w:rPr>
            </w:pPr>
            <w:r>
              <w:rPr>
                <w:szCs w:val="24"/>
              </w:rPr>
              <w:t>Целеви показатели и показатели за резултат ПРСР 2014-2020</w:t>
            </w:r>
          </w:p>
          <w:p w:rsidR="002B3815" w:rsidRDefault="0099452B">
            <w:pPr>
              <w:spacing w:before="240" w:after="240"/>
              <w:jc w:val="left"/>
              <w:rPr>
                <w:szCs w:val="24"/>
              </w:rPr>
            </w:pPr>
            <w:r>
              <w:rPr>
                <w:szCs w:val="24"/>
              </w:rPr>
              <w:t>R6 / T8: процент на гори или други залесени райони, обхванати от договори за управление в подкрепа на биологичното разнообразие (област с поставен акцент 4А) – 0,0</w:t>
            </w:r>
            <w:r>
              <w:rPr>
                <w:szCs w:val="24"/>
              </w:rPr>
              <w:t>0.</w:t>
            </w:r>
          </w:p>
          <w:p w:rsidR="002B3815" w:rsidRDefault="0099452B">
            <w:pPr>
              <w:spacing w:before="240" w:after="240"/>
              <w:jc w:val="left"/>
              <w:rPr>
                <w:szCs w:val="24"/>
              </w:rPr>
            </w:pPr>
            <w:r>
              <w:rPr>
                <w:szCs w:val="24"/>
              </w:rPr>
              <w:t>R7 / T9: процент на земеделската земя, обхваната от договори за управление в подкрепа на биологичното разнообразие и/или ландшафти (област с поставен акцент 4А) – 13,6.</w:t>
            </w:r>
          </w:p>
          <w:p w:rsidR="002B3815" w:rsidRDefault="0099452B">
            <w:pPr>
              <w:spacing w:before="240" w:after="240"/>
              <w:jc w:val="left"/>
              <w:rPr>
                <w:szCs w:val="24"/>
              </w:rPr>
            </w:pPr>
            <w:r>
              <w:rPr>
                <w:szCs w:val="24"/>
              </w:rPr>
              <w:t>Площта със селскостопанско значение в България е в размер на 5 224 402 ha по данни н</w:t>
            </w:r>
            <w:r>
              <w:rPr>
                <w:szCs w:val="24"/>
              </w:rPr>
              <w:t>а Агростатистика.</w:t>
            </w:r>
          </w:p>
          <w:p w:rsidR="002B3815" w:rsidRDefault="0099452B">
            <w:pPr>
              <w:spacing w:before="240" w:after="240"/>
              <w:jc w:val="left"/>
              <w:rPr>
                <w:szCs w:val="24"/>
              </w:rPr>
            </w:pPr>
            <w:r>
              <w:rPr>
                <w:szCs w:val="24"/>
              </w:rPr>
              <w:t>Данни за подпомогнати площи и ЖЕ към 31.12.2018 г. /не са включени данни по кампания 2018, защото реалните интервенции не са приключили към 31.12.2018 г./ по мерки и направления:</w:t>
            </w:r>
          </w:p>
          <w:tbl>
            <w:tblPr>
              <w:tblW w:w="10305" w:type="dxa"/>
              <w:jc w:val="center"/>
              <w:tblCellSpacing w:w="0" w:type="dxa"/>
              <w:tblBorders>
                <w:top w:val="outset" w:sz="6" w:space="0" w:color="808080"/>
                <w:left w:val="outset" w:sz="6" w:space="0" w:color="808080"/>
                <w:bottom w:val="outset" w:sz="6" w:space="0" w:color="808080"/>
                <w:right w:val="outset" w:sz="6" w:space="0" w:color="808080"/>
              </w:tblBorders>
              <w:tblCellMar>
                <w:left w:w="0" w:type="dxa"/>
                <w:right w:w="0" w:type="dxa"/>
              </w:tblCellMar>
              <w:tblLook w:val="04A0" w:firstRow="1" w:lastRow="0" w:firstColumn="1" w:lastColumn="0" w:noHBand="0" w:noVBand="1"/>
            </w:tblPr>
            <w:tblGrid>
              <w:gridCol w:w="5035"/>
              <w:gridCol w:w="1678"/>
              <w:gridCol w:w="3592"/>
            </w:tblGrid>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Мярка</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подпомогната площ ха/ЖЕ</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 xml:space="preserve">% Обхванати от подпомагането </w:t>
                  </w:r>
                  <w:r>
                    <w:rPr>
                      <w:b/>
                      <w:bCs/>
                      <w:color w:val="000000"/>
                      <w:szCs w:val="24"/>
                    </w:rPr>
                    <w:t>площи в сравнение с общите селскостопански площи в България</w:t>
                  </w:r>
                </w:p>
              </w:tc>
            </w:tr>
            <w:tr w:rsidR="002B3815">
              <w:trPr>
                <w:trHeight w:val="315"/>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Мярка 214-Агроекологични плащания - Кампания 2017</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пчеларство</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32 223</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растениевъдтсво</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11 035.65</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0,211</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Въвеждане на </w:t>
                  </w:r>
                  <w:r>
                    <w:rPr>
                      <w:color w:val="000000"/>
                      <w:szCs w:val="24"/>
                    </w:rPr>
                    <w:t>сеитбообращение за опазване на почвите и водите</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115 003.72</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2,201</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Възстановяване и поддържане на затревени площи с висока природна стойност (ВПС1)</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8 364.16</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0,160</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К</w:t>
                  </w:r>
                  <w:r>
                    <w:rPr>
                      <w:color w:val="000000"/>
                      <w:szCs w:val="24"/>
                    </w:rPr>
                    <w:t>онтрол на почвената ерозия</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755.56</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0,014</w:t>
                  </w:r>
                </w:p>
              </w:tc>
            </w:tr>
            <w:tr w:rsidR="002B3815">
              <w:trPr>
                <w:trHeight w:val="315"/>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Опазване на застрашени от изчезване </w:t>
                  </w:r>
                  <w:r>
                    <w:rPr>
                      <w:b/>
                      <w:bCs/>
                      <w:color w:val="000000"/>
                      <w:szCs w:val="24"/>
                    </w:rPr>
                    <w:t>местни породи</w:t>
                  </w:r>
                  <w:r>
                    <w:rPr>
                      <w:color w:val="000000"/>
                      <w:szCs w:val="24"/>
                    </w:rPr>
                    <w:t>, важни за селското стопанство</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11 991.31</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6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Поддържане на местообитанията на защитени видове в обработваеми земи с </w:t>
                  </w:r>
                  <w:r>
                    <w:rPr>
                      <w:color w:val="000000"/>
                      <w:szCs w:val="24"/>
                    </w:rPr>
                    <w:t>орнитологично значение (ВПС4)</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7 655.51</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0,147</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Традиционни практики за сезонна паша (пасторализъм)</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2 918.81</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0,056</w:t>
                  </w:r>
                </w:p>
              </w:tc>
            </w:tr>
            <w:tr w:rsidR="002B3815">
              <w:trPr>
                <w:trHeight w:val="315"/>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Традиционно отглеждане на овощни култури</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14.98</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   </w:t>
                  </w:r>
                  <w:r>
                    <w:rPr>
                      <w:color w:val="000000"/>
                      <w:szCs w:val="24"/>
                    </w:rPr>
                    <w:t>                                           0,000</w:t>
                  </w:r>
                </w:p>
              </w:tc>
            </w:tr>
            <w:tr w:rsidR="002B3815">
              <w:trPr>
                <w:trHeight w:val="315"/>
                <w:tblCellSpacing w:w="0" w:type="dxa"/>
                <w:jc w:val="center"/>
              </w:trPr>
              <w:tc>
                <w:tcPr>
                  <w:tcW w:w="6750" w:type="dxa"/>
                  <w:gridSpan w:val="2"/>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Подмярка 10-Агроекология и климат - Кампания 2017</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15"/>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Традиционни практики за сезонна паша на животните (пасторализъм)</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Традиционни практики за сезонна паша (пасторализъм)(АК11)</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15833.53</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r>
                    <w:rPr>
                      <w:color w:val="000000"/>
                      <w:szCs w:val="24"/>
                    </w:rPr>
                    <w:t xml:space="preserve">                              0,303</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Традиционни практики за сезонна паша (пасторализъм) - при използване на най-малко две работни кучета (АК12)</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448.45</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0,009</w:t>
                  </w:r>
                </w:p>
              </w:tc>
            </w:tr>
            <w:tr w:rsidR="002B3815">
              <w:trPr>
                <w:trHeight w:val="315"/>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 xml:space="preserve">Опазване на застрашени от изчезване местни породи, </w:t>
                  </w:r>
                  <w:r>
                    <w:rPr>
                      <w:b/>
                      <w:bCs/>
                      <w:color w:val="000000"/>
                      <w:szCs w:val="24"/>
                    </w:rPr>
                    <w:t>важни за селското стопанство</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Опазване на застрашени местни породи - едър рогат добитък и биволи (АК13)</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17325.06</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Опазване на застрашени местни породи - овце и кози (АК14)</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13076.8</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Опазване на застрашени местни породи - свине (АК15)</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616</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Опазване</w:t>
                  </w:r>
                  <w:r>
                    <w:rPr>
                      <w:color w:val="000000"/>
                      <w:szCs w:val="24"/>
                    </w:rPr>
                    <w:t xml:space="preserve"> на застрашени местни породи - коне (АК16)</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6769.04</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15"/>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Опазване на застрашени от изчезване местни сортове, важни за селското стопанство</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Опазване на застрашени от изчезване местни сортове, важни за селското стопанство – полски култури (АК17)</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Опазване на застрашени от изчезване местни сортове, важни за селското стопанство – трайни насаждения (АК18)</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977.66</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0,019</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Опазване на застрашени от изчезване местни сортове, важни за селското стопанство - </w:t>
                  </w:r>
                  <w:r>
                    <w:rPr>
                      <w:color w:val="000000"/>
                      <w:szCs w:val="24"/>
                    </w:rPr>
                    <w:t>зеленчуци (АК19)</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2128.96</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0,041</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Опазване на застрашени от изчезване местни сортове, важни за селското стопанство – ароматни и медицински култури (АК20)</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378.16</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0,007</w:t>
                  </w:r>
                </w:p>
              </w:tc>
            </w:tr>
            <w:tr w:rsidR="002B3815">
              <w:trPr>
                <w:trHeight w:val="315"/>
                <w:tblCellSpacing w:w="0" w:type="dxa"/>
                <w:jc w:val="center"/>
              </w:trPr>
              <w:tc>
                <w:tcPr>
                  <w:tcW w:w="6750" w:type="dxa"/>
                  <w:gridSpan w:val="2"/>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Поддържане на местообитанията на зимуващите видове гъски и Ливадния блатар в обработваеми земи с орнитологично значение</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Засяване и отглеждане на есенни зърнено-житни култури в местообитания на зимуващи видове гъски на минимум 50 % от заявените по </w:t>
                  </w:r>
                  <w:r>
                    <w:rPr>
                      <w:color w:val="000000"/>
                      <w:szCs w:val="24"/>
                    </w:rPr>
                    <w:t>дейността площи (АК2)</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102684.27</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1,965</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Засяване и отглеждане на есенни зърнено-житни култури в местообитанията на червеногушата гъска (АК3)</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9242.89</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0,177</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Прибиране</w:t>
                  </w:r>
                  <w:r>
                    <w:rPr>
                      <w:color w:val="000000"/>
                      <w:szCs w:val="24"/>
                    </w:rPr>
                    <w:t xml:space="preserve"> на реколтата след 31 юли в площи с гнезда на ливадния блатар (АК4)</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87.03</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0,002</w:t>
                  </w:r>
                </w:p>
              </w:tc>
            </w:tr>
            <w:tr w:rsidR="002B3815">
              <w:trPr>
                <w:trHeight w:val="315"/>
                <w:tblCellSpacing w:w="0" w:type="dxa"/>
                <w:jc w:val="center"/>
              </w:trPr>
              <w:tc>
                <w:tcPr>
                  <w:tcW w:w="6750" w:type="dxa"/>
                  <w:gridSpan w:val="2"/>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Поддържане на местообитанията на защитени видове в обработваеми земи с орнитологично значение</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Поддържане на местообитанията на</w:t>
                  </w:r>
                  <w:r>
                    <w:rPr>
                      <w:color w:val="000000"/>
                      <w:szCs w:val="24"/>
                    </w:rPr>
                    <w:t xml:space="preserve"> Царски орел и Египетски лешояд в обработваеми земи с орнитологично значение (АК5)</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6.22</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0,000</w:t>
                  </w:r>
                </w:p>
              </w:tc>
            </w:tr>
            <w:tr w:rsidR="002B3815">
              <w:trPr>
                <w:trHeight w:val="315"/>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Контрол на почвената ерозия</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Превръщане на обработваеми земеделски земи в постоянно затревени площи (АК6)</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11832.71</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0,226</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Затревяване на междуредията на лозята и трайните насаждения (АК7)</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17874.47</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0,342</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Изграждане и поддържане на оттокоотвеждащи бразди напречно на </w:t>
                  </w:r>
                  <w:r>
                    <w:rPr>
                      <w:color w:val="000000"/>
                      <w:szCs w:val="24"/>
                    </w:rPr>
                    <w:t>склона (АК8)</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145.09</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0,003</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Създаване и поддържане на буферни ивици (АК9)</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33.49</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0,001</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Поясно редуване на културите (АК10)</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8.3</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r>
                    <w:rPr>
                      <w:color w:val="000000"/>
                      <w:szCs w:val="24"/>
                    </w:rPr>
                    <w:t>        0,000</w:t>
                  </w:r>
                </w:p>
              </w:tc>
            </w:tr>
            <w:tr w:rsidR="002B3815">
              <w:trPr>
                <w:trHeight w:val="315"/>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Възстановяване и поддържане на затревени площи с висока природна стойност (ВПС)</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Възстановяване и поддържане на затревени площи с висока природна стойност (ВПС) - чрез косене (АКК1)</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3 537.1</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                                              </w:t>
                  </w:r>
                  <w:r>
                    <w:rPr>
                      <w:color w:val="000000"/>
                      <w:szCs w:val="24"/>
                    </w:rPr>
                    <w:t>0,068</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Възстановяване и поддържане на затревени площи с висока природна стойност (ВПС) - чрез паша (АКП1)</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20973.62</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0,401</w:t>
                  </w:r>
                </w:p>
              </w:tc>
            </w:tr>
            <w:tr w:rsidR="002B3815">
              <w:trPr>
                <w:trHeight w:val="600"/>
                <w:tblCellSpacing w:w="0" w:type="dxa"/>
                <w:jc w:val="center"/>
              </w:trPr>
              <w:tc>
                <w:tcPr>
                  <w:tcW w:w="6750" w:type="dxa"/>
                  <w:gridSpan w:val="2"/>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Подмярка 11-Биологично земеделие</w:t>
                  </w:r>
                  <w:r>
                    <w:rPr>
                      <w:color w:val="000000"/>
                      <w:szCs w:val="24"/>
                    </w:rPr>
                    <w:t xml:space="preserve">  </w:t>
                  </w:r>
                  <w:r>
                    <w:rPr>
                      <w:b/>
                      <w:bCs/>
                      <w:color w:val="000000"/>
                      <w:szCs w:val="24"/>
                    </w:rPr>
                    <w:t>- Кампания 2017</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6750" w:type="dxa"/>
                  <w:gridSpan w:val="2"/>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 xml:space="preserve">Плащания за преминаване към </w:t>
                  </w:r>
                  <w:r>
                    <w:rPr>
                      <w:b/>
                      <w:bCs/>
                      <w:color w:val="000000"/>
                      <w:szCs w:val="24"/>
                    </w:rPr>
                    <w:t>биологично земеделие за ха ИЗП</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растениевъдство в преход - за полски култури, включително фуражни (БРП1)</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20 482.64   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0,392</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Биологично растениевъдство в преход - постоянно затревени площи (ливади </w:t>
                  </w:r>
                  <w:r>
                    <w:rPr>
                      <w:color w:val="000000"/>
                      <w:szCs w:val="24"/>
                    </w:rPr>
                    <w:t>и пасища) (БРП2)</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10 909.01    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0,209</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растениевъдство в преход - трайни насаждения, лозя и маслодайна роза (БРП3)</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11 937.05   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0,228</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Биологично </w:t>
                  </w:r>
                  <w:r>
                    <w:rPr>
                      <w:color w:val="000000"/>
                      <w:szCs w:val="24"/>
                    </w:rPr>
                    <w:t>растениевъдство в преход - ароматни и медицински растения (БРП4)</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7 790.99   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0,149</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растениевъдство в преход - зеленчукови култури, включително култивирани гъби и картофи (БРП5)</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1 035.81   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0,020</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пчеларство в преход (БПП6)</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763.00   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животновъдство в преход - едри приживни животни (говеда и биволи) за мляко - БЖП7</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72.62   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животновъдство в преход - едри прижи</w:t>
                  </w:r>
                  <w:r>
                    <w:rPr>
                      <w:color w:val="000000"/>
                      <w:szCs w:val="24"/>
                    </w:rPr>
                    <w:t>вни животни (говеда и биволи) за месо - БЖП8</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357.82   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животновъдство в преход - дребни приживни животни (овце и кози), отглеждани за комбинирано производство (мляко и месо) - БЖП9</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263.10   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b/>
                      <w:bCs/>
                      <w:color w:val="000000"/>
                      <w:szCs w:val="24"/>
                    </w:rPr>
                    <w:t xml:space="preserve">Плащания за поддържане на биологично земеделие </w:t>
                  </w:r>
                  <w:r>
                    <w:rPr>
                      <w:b/>
                      <w:bCs/>
                      <w:color w:val="000000"/>
                      <w:szCs w:val="24"/>
                    </w:rPr>
                    <w:t>за ха ИЗП - Кампания 2017</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растениевъдство - за полски култури, включително фуражни - БР10</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11 792.07   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0,226</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растениевъдство - постоянно затревени площи (ливади и пасища) - БР11</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5 14</w:t>
                  </w:r>
                  <w:r>
                    <w:rPr>
                      <w:color w:val="000000"/>
                      <w:szCs w:val="24"/>
                    </w:rPr>
                    <w:t>6.68   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0,099</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растениевъдство - трайни насаждения, лозя и маслодайна роза (БР12)</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4 884.13   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0,093</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Биологично растениевъдство - ароматни и медицински </w:t>
                  </w:r>
                  <w:r>
                    <w:rPr>
                      <w:color w:val="000000"/>
                      <w:szCs w:val="24"/>
                    </w:rPr>
                    <w:t>растения (БР13)</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3 254.39   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0,062</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растениевъдство - зеленчукови култури, включително култивирани гъби и картофи (БР14)</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671.04   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0,013</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Биологично </w:t>
                  </w:r>
                  <w:r>
                    <w:rPr>
                      <w:color w:val="000000"/>
                      <w:szCs w:val="24"/>
                    </w:rPr>
                    <w:t>пчеларство (БП15)</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132 898.00   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животновъдство - едри приживни животни (говеда и биволи) за мляко - БЖ16</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754.37   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Биологично животновъдство- едри приживни животни (говеда и биволи) за месо - БЖ17</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645.81   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r w:rsidR="002B3815">
              <w:trPr>
                <w:trHeight w:val="300"/>
                <w:tblCellSpacing w:w="0" w:type="dxa"/>
                <w:jc w:val="center"/>
              </w:trPr>
              <w:tc>
                <w:tcPr>
                  <w:tcW w:w="5085"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xml:space="preserve">Биологично животновъдство - </w:t>
                  </w:r>
                  <w:r>
                    <w:rPr>
                      <w:color w:val="000000"/>
                      <w:szCs w:val="24"/>
                    </w:rPr>
                    <w:t>дребни приживни животни (овце и кози), отглеждани за комбинирано производство (мляко и месо) - БЖ18</w:t>
                  </w:r>
                </w:p>
              </w:tc>
              <w:tc>
                <w:tcPr>
                  <w:tcW w:w="168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911.01   </w:t>
                  </w:r>
                </w:p>
              </w:tc>
              <w:tc>
                <w:tcPr>
                  <w:tcW w:w="3600" w:type="dxa"/>
                  <w:tcBorders>
                    <w:top w:val="inset" w:sz="6" w:space="0" w:color="808080"/>
                    <w:left w:val="inset" w:sz="6" w:space="0" w:color="808080"/>
                    <w:bottom w:val="inset" w:sz="6" w:space="0" w:color="808080"/>
                    <w:right w:val="inset" w:sz="6" w:space="0" w:color="808080"/>
                  </w:tcBorders>
                  <w:tcMar>
                    <w:top w:w="8" w:type="dxa"/>
                    <w:left w:w="8" w:type="dxa"/>
                    <w:bottom w:w="8" w:type="dxa"/>
                    <w:right w:w="8" w:type="dxa"/>
                  </w:tcMar>
                  <w:vAlign w:val="center"/>
                  <w:hideMark/>
                </w:tcPr>
                <w:p w:rsidR="002B3815" w:rsidRDefault="0099452B">
                  <w:pPr>
                    <w:spacing w:before="0" w:after="0"/>
                    <w:jc w:val="left"/>
                    <w:rPr>
                      <w:color w:val="000000"/>
                      <w:szCs w:val="24"/>
                    </w:rPr>
                  </w:pPr>
                  <w:r>
                    <w:rPr>
                      <w:color w:val="000000"/>
                      <w:szCs w:val="24"/>
                    </w:rPr>
                    <w:t> </w:t>
                  </w:r>
                </w:p>
              </w:tc>
            </w:tr>
          </w:tbl>
          <w:p w:rsidR="002B3815" w:rsidRDefault="002B3815">
            <w:pPr>
              <w:pStyle w:val="BodyText"/>
            </w:pPr>
          </w:p>
        </w:tc>
      </w:tr>
    </w:tbl>
    <w:p w:rsidR="002B3815" w:rsidRDefault="0099452B">
      <w:pPr>
        <w:pStyle w:val="Heading3"/>
        <w:jc w:val="left"/>
      </w:pPr>
      <w:bookmarkStart w:id="167" w:name="_Toc256000218"/>
      <w:bookmarkStart w:id="168" w:name="_Toc256000136"/>
      <w:bookmarkStart w:id="169" w:name="_Toc256000054"/>
      <w:r>
        <w:t>CEQ27-CO - To what extent has the RDP contributed to the CAP objective of fostering the competitiveness of agriculture?</w:t>
      </w:r>
      <w:bookmarkEnd w:id="167"/>
      <w:bookmarkEnd w:id="168"/>
      <w:bookmarkEnd w:id="169"/>
    </w:p>
    <w:p w:rsidR="002B3815" w:rsidRDefault="0099452B">
      <w:pPr>
        <w:pStyle w:val="Heading4"/>
        <w:jc w:val="left"/>
      </w:pPr>
      <w:r>
        <w:t xml:space="preserve">Отговор на въпрос за </w:t>
      </w:r>
      <w:r>
        <w:t>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Приоритети и области с поставен акцент Приоритет 1,2 и 3. Области с поставен акцент 1A, 1B, 1C, 2A, 2B, 3A, 3B.</w:t>
            </w:r>
          </w:p>
          <w:p w:rsidR="002B3815" w:rsidRDefault="0099452B">
            <w:pPr>
              <w:spacing w:before="240" w:after="240"/>
              <w:jc w:val="left"/>
              <w:rPr>
                <w:szCs w:val="24"/>
              </w:rPr>
            </w:pPr>
            <w:r>
              <w:rPr>
                <w:szCs w:val="24"/>
              </w:rPr>
              <w:t>Целеви показатели и показатели за резултат:</w:t>
            </w:r>
          </w:p>
          <w:p w:rsidR="002B3815" w:rsidRDefault="0099452B">
            <w:pPr>
              <w:spacing w:before="240" w:after="240"/>
              <w:jc w:val="left"/>
              <w:rPr>
                <w:szCs w:val="24"/>
              </w:rPr>
            </w:pPr>
            <w:r>
              <w:rPr>
                <w:szCs w:val="24"/>
              </w:rPr>
              <w:t>T1: процент на разходи по членове 14, 15 и 35 от Регламент (ЕС) № 1305/2013 във връзка с общи</w:t>
            </w:r>
            <w:r>
              <w:rPr>
                <w:szCs w:val="24"/>
              </w:rPr>
              <w:t>те разходи за ПРСР (област с поставен акцент 1А)  – 0,18.</w:t>
            </w:r>
          </w:p>
          <w:p w:rsidR="002B3815" w:rsidRDefault="0099452B">
            <w:pPr>
              <w:spacing w:before="240" w:after="240"/>
              <w:jc w:val="left"/>
              <w:rPr>
                <w:szCs w:val="24"/>
              </w:rPr>
            </w:pPr>
            <w:r>
              <w:rPr>
                <w:szCs w:val="24"/>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w:t>
            </w:r>
            <w:r>
              <w:rPr>
                <w:szCs w:val="24"/>
              </w:rPr>
              <w:t>Б) – 0.</w:t>
            </w:r>
          </w:p>
          <w:p w:rsidR="002B3815" w:rsidRDefault="0099452B">
            <w:pPr>
              <w:spacing w:before="240" w:after="240"/>
              <w:jc w:val="left"/>
              <w:rPr>
                <w:szCs w:val="24"/>
              </w:rPr>
            </w:pPr>
            <w:r>
              <w:rPr>
                <w:szCs w:val="24"/>
              </w:rPr>
              <w:t>T3: общ брой на участниците в обучения съгласно член 14 от Регламент (ЕС) № 1305/2013 (област с поставен акцент 1В) – 0.</w:t>
            </w:r>
          </w:p>
          <w:p w:rsidR="002B3815" w:rsidRDefault="0099452B">
            <w:pPr>
              <w:spacing w:before="240" w:after="240"/>
              <w:jc w:val="left"/>
              <w:rPr>
                <w:szCs w:val="24"/>
              </w:rPr>
            </w:pPr>
            <w:r>
              <w:rPr>
                <w:szCs w:val="24"/>
              </w:rPr>
              <w:t>T4: процент на земеделските стопанства, получаващи подпомагане по ПРСР за инвестиции в преструктуриране или модернизация (облас</w:t>
            </w:r>
            <w:r>
              <w:rPr>
                <w:szCs w:val="24"/>
              </w:rPr>
              <w:t>т с поставен акцент 2A) – 0,31.</w:t>
            </w:r>
          </w:p>
          <w:p w:rsidR="002B3815" w:rsidRDefault="0099452B">
            <w:pPr>
              <w:spacing w:before="240" w:after="240"/>
              <w:jc w:val="left"/>
              <w:rPr>
                <w:szCs w:val="24"/>
              </w:rPr>
            </w:pPr>
            <w:r>
              <w:rPr>
                <w:szCs w:val="24"/>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 – 0,73.</w:t>
            </w:r>
          </w:p>
          <w:p w:rsidR="002B3815" w:rsidRDefault="0099452B">
            <w:pPr>
              <w:spacing w:before="240" w:after="240"/>
              <w:jc w:val="left"/>
              <w:rPr>
                <w:szCs w:val="24"/>
              </w:rPr>
            </w:pPr>
            <w:r>
              <w:rPr>
                <w:szCs w:val="24"/>
              </w:rPr>
              <w:t>T6: процент на земеделските стопанства, получава</w:t>
            </w:r>
            <w:r>
              <w:rPr>
                <w:szCs w:val="24"/>
              </w:rPr>
              <w:t>щи подпомагане по схеми за качество, местни пазари и къси вериги на доставки и групи/организации на производителите (област с поставен акцент 3A) – 0,03.</w:t>
            </w:r>
          </w:p>
          <w:p w:rsidR="002B3815" w:rsidRDefault="0099452B">
            <w:pPr>
              <w:spacing w:before="240" w:after="240"/>
              <w:jc w:val="left"/>
              <w:rPr>
                <w:szCs w:val="24"/>
              </w:rPr>
            </w:pPr>
            <w:r>
              <w:rPr>
                <w:szCs w:val="24"/>
              </w:rPr>
              <w:t>R2 за бенефициенти:  2 432 Евро/ГРЕ – екстраполирана стойност до популацията от бенефициенти. Тази сто</w:t>
            </w:r>
            <w:r>
              <w:rPr>
                <w:szCs w:val="24"/>
              </w:rPr>
              <w:t>йност означава, че в периода 2015-2018г. производството на 1 зает е нараснало с 2 432 Евро средно, при стопанства подкрепени от ПРСР (Бел. Важно е да се има предвид, че R2 не е производството на 1 ГРЕ, а неговото увеличение/намаление за периода. Самото Про</w:t>
            </w:r>
            <w:r>
              <w:rPr>
                <w:szCs w:val="24"/>
              </w:rPr>
              <w:t xml:space="preserve">изводство/ГРЕ е 26 607 Евро/ГРЕ, съответно БДС/ГРЕ - 19 500 Евро/ГРЕ - усреднени претеглени стойност, при стопанствата подпомогнати по ПРСР към 2018г. Стойностите за целия селскостопански сектор очаквано са значително по-ниски, съответно: Производство/ГРЕ </w:t>
            </w:r>
            <w:r>
              <w:rPr>
                <w:szCs w:val="24"/>
              </w:rPr>
              <w:t>– 9 325 Евро/ГРЕ и  БДС/ГРЕ – 4 022 Евро /ГРЕ. Разликата между резултатите на ПРСР и националната статистика за сектора се дължат, както на критериите за подбор на бенефициенти, така и на обстоятелството, че националната статистика по същество събира данни</w:t>
            </w:r>
            <w:r>
              <w:rPr>
                <w:szCs w:val="24"/>
              </w:rPr>
              <w:t xml:space="preserve"> за предприятия заедно с данни за домакинства и ги осреднява. Преобладаващата част от „стопанствата“ в страната всъщност не са предприятия, а традиционна форма на съществуване на населението в селските райони, т.е. повечето „стопани“ не произвеждат за паза</w:t>
            </w:r>
            <w:r>
              <w:rPr>
                <w:szCs w:val="24"/>
              </w:rPr>
              <w:t>ра, а продават излишъка си. По данни на МЗХГ, от 201 000 стопанства общо в страната при преброяването през 2016г., 104 898 са именно  такива - от Клас I -  с  икономически размер по-малко от 2 000 Евро за 12 месеца.</w:t>
            </w:r>
          </w:p>
          <w:p w:rsidR="002B3815" w:rsidRDefault="0099452B">
            <w:pPr>
              <w:spacing w:before="240" w:after="240"/>
              <w:jc w:val="left"/>
              <w:rPr>
                <w:szCs w:val="24"/>
              </w:rPr>
            </w:pPr>
            <w:r>
              <w:rPr>
                <w:szCs w:val="24"/>
              </w:rPr>
              <w:t>R2 за не-бенефициенти – екстраполираната</w:t>
            </w:r>
            <w:r>
              <w:rPr>
                <w:szCs w:val="24"/>
              </w:rPr>
              <w:t xml:space="preserve"> стойност до популацията от отхвърлени кандидати / не-бенефициенти е отрицателна, означаващо, че отхвърлените кандидати са търсели подпомагане от ПРСР, с цел укрепване на финансовото си положение и като не са били подпомогнати, са влошили своята производит</w:t>
            </w:r>
            <w:r>
              <w:rPr>
                <w:szCs w:val="24"/>
              </w:rPr>
              <w:t>елност. При небенефициентите, стойността на R2 е отрицателна -  1 377 Евро/ГРЕ. Тази стойност означава, че в периода 2015-2018г. производството на 1 зает е намаляло с 1 377 Евро средно, при стопанства които не са били подкрепени от ПРСР;</w:t>
            </w:r>
          </w:p>
          <w:p w:rsidR="002B3815" w:rsidRDefault="0099452B">
            <w:pPr>
              <w:spacing w:before="240" w:after="240"/>
              <w:jc w:val="left"/>
              <w:rPr>
                <w:szCs w:val="24"/>
              </w:rPr>
            </w:pPr>
            <w:r>
              <w:rPr>
                <w:szCs w:val="24"/>
              </w:rPr>
              <w:t>Нетният ефект от П</w:t>
            </w:r>
            <w:r>
              <w:rPr>
                <w:szCs w:val="24"/>
              </w:rPr>
              <w:t>РСР в промяната на R2, е 3 809 Евро/ГРЕ  Стойността означава, че подпомогнатите от ПРСР предприятия, в периода 2015-2018г са увеличили продажбите си на 1 зает с 3 809 Евро спрямо сходни на тях предприятия, които не са били подпомогнати,</w:t>
            </w:r>
          </w:p>
          <w:p w:rsidR="002B3815" w:rsidRDefault="0099452B">
            <w:pPr>
              <w:spacing w:before="240" w:after="240"/>
              <w:jc w:val="left"/>
              <w:rPr>
                <w:szCs w:val="24"/>
              </w:rPr>
            </w:pPr>
            <w:r>
              <w:rPr>
                <w:szCs w:val="24"/>
              </w:rPr>
              <w:t>R2 за целия селскос</w:t>
            </w:r>
            <w:r>
              <w:rPr>
                <w:szCs w:val="24"/>
              </w:rPr>
              <w:t>топански сектор на национално равнище: 55 Евро / ГРЕ;</w:t>
            </w:r>
          </w:p>
          <w:p w:rsidR="002B3815" w:rsidRDefault="0099452B">
            <w:pPr>
              <w:spacing w:before="240" w:after="240"/>
              <w:jc w:val="left"/>
              <w:rPr>
                <w:szCs w:val="24"/>
              </w:rPr>
            </w:pPr>
            <w:r>
              <w:rPr>
                <w:szCs w:val="24"/>
              </w:rPr>
              <w:t>Принос на ПРСР в стойността на R2 на национално ниво:        42 Евро /ГРЕ.</w:t>
            </w:r>
          </w:p>
          <w:p w:rsidR="002B3815" w:rsidRDefault="0099452B">
            <w:pPr>
              <w:spacing w:before="240" w:after="240"/>
              <w:jc w:val="left"/>
              <w:rPr>
                <w:szCs w:val="24"/>
              </w:rPr>
            </w:pPr>
            <w:r>
              <w:rPr>
                <w:szCs w:val="24"/>
              </w:rPr>
              <w:t xml:space="preserve">Показател R2 на национално ниво показва, че нито производството, нито производителността в селското стопанство са се изменили </w:t>
            </w:r>
            <w:r>
              <w:rPr>
                <w:szCs w:val="24"/>
              </w:rPr>
              <w:t>чувствително на секторно ниво за продължителен период от време. В сравнение с националния показател R2 - 55 Евро / ГРЕ, този на бенефициентите на ПРСР е R2 = 2 432 Евро/ГРЕ, докато сходните предприятия, които не са получили подкрепа от ПРСР са влошили своя</w:t>
            </w:r>
            <w:r>
              <w:rPr>
                <w:szCs w:val="24"/>
              </w:rPr>
              <w:t>та производителност. Техният показател R2 е отрицателен, но точната му стойност в Евро/ГРЕ е със спорна представителност, защото R2 не дава вярна представа за икономиката, в случаите когато работодателите държат излишна работна ръка, тъй като тогава намале</w:t>
            </w:r>
            <w:r>
              <w:rPr>
                <w:szCs w:val="24"/>
              </w:rPr>
              <w:t>нието в  производството се дели на повече ГРЕ и така изглежда, че е по-малко. </w:t>
            </w:r>
          </w:p>
          <w:p w:rsidR="002B3815" w:rsidRDefault="0099452B">
            <w:pPr>
              <w:spacing w:before="240" w:after="240"/>
              <w:jc w:val="left"/>
              <w:rPr>
                <w:szCs w:val="24"/>
              </w:rPr>
            </w:pPr>
            <w:r>
              <w:rPr>
                <w:szCs w:val="24"/>
              </w:rPr>
              <w:t xml:space="preserve">Производителността на национално ниво, като величина представляваща БДС на една годишна работна единица (ГРЕ), не бележи никакво съществено увеличение през последните 6 години. </w:t>
            </w:r>
            <w:r>
              <w:rPr>
                <w:szCs w:val="24"/>
              </w:rPr>
              <w:t xml:space="preserve">Например,  в периода между 2010 и 2012 г., тя е средно 3 825,9 евро / ГРЕ,  т.е. 26% от ЕС-27 /както се сочи и на стр.30 от ПРСР 2014-2020 г.), през 2015г. тя е дори по-ниска - 3 587 Евро / ГРЕ, а през 2018г., т.е. за 8 години, тя незначително е нараснала </w:t>
            </w:r>
            <w:r>
              <w:rPr>
                <w:szCs w:val="24"/>
              </w:rPr>
              <w:t>– до 4 022 Евро / ГРЕ. </w:t>
            </w:r>
          </w:p>
          <w:p w:rsidR="002B3815" w:rsidRDefault="0099452B">
            <w:pPr>
              <w:spacing w:before="240" w:after="240"/>
              <w:jc w:val="left"/>
              <w:rPr>
                <w:szCs w:val="24"/>
              </w:rPr>
            </w:pPr>
            <w:r>
              <w:rPr>
                <w:szCs w:val="24"/>
              </w:rPr>
              <w:t>Изводът се потвърждава от макроикономическата статистика на НСИ – данни за брутна добавена стойност за единица време - БДС/ГРЕ.</w:t>
            </w:r>
          </w:p>
          <w:p w:rsidR="002B3815" w:rsidRDefault="0099452B">
            <w:pPr>
              <w:spacing w:before="240" w:after="240"/>
              <w:jc w:val="left"/>
              <w:rPr>
                <w:szCs w:val="24"/>
              </w:rPr>
            </w:pPr>
            <w:r>
              <w:rPr>
                <w:b/>
                <w:bCs/>
                <w:szCs w:val="24"/>
              </w:rPr>
              <w:t>Импакт-индикатор I.01</w:t>
            </w:r>
          </w:p>
          <w:p w:rsidR="002B3815" w:rsidRDefault="0099452B">
            <w:pPr>
              <w:spacing w:before="240" w:after="240"/>
              <w:jc w:val="left"/>
              <w:rPr>
                <w:szCs w:val="24"/>
              </w:rPr>
            </w:pPr>
            <w:r>
              <w:rPr>
                <w:szCs w:val="24"/>
              </w:rPr>
              <w:t>Източници: 1. Данни от анкета на изводкова група от бенефициенти и контролна група</w:t>
            </w:r>
            <w:r>
              <w:rPr>
                <w:szCs w:val="24"/>
              </w:rPr>
              <w:t xml:space="preserve"> от не-бенефициенти на ПРСР /по метод  Regression Discontinuity Design (RDD)/; 2.  Интерполирани данни от НСИ - нетен предприемачески доход, средна годишна заплата, отработено време;; 3. Методика съгласно Impact Indicator Fiches (ноември 2018 г.). </w:t>
            </w:r>
          </w:p>
          <w:p w:rsidR="002B3815" w:rsidRDefault="0099452B">
            <w:pPr>
              <w:spacing w:before="240" w:after="240"/>
              <w:jc w:val="left"/>
              <w:rPr>
                <w:szCs w:val="24"/>
              </w:rPr>
            </w:pPr>
            <w:r>
              <w:rPr>
                <w:szCs w:val="24"/>
              </w:rPr>
              <w:t>Индикаторът за предприемачески доход измерва дохода, получен от селскостопански дейности, който може да се използва за заплащане на собствени производствени фактори, т.е. самонает труд (семейство), земя принадлежаща на земеделското стопанство и собствен ка</w:t>
            </w:r>
            <w:r>
              <w:rPr>
                <w:szCs w:val="24"/>
              </w:rPr>
              <w:t>питал. Тя се получава чрез приспадане на заплатите, наемите и лихвените плащания, от селскостопанския факторен доход (нетния доход по факторни разходи).</w:t>
            </w:r>
          </w:p>
          <w:p w:rsidR="002B3815" w:rsidRDefault="0099452B">
            <w:pPr>
              <w:spacing w:before="240" w:after="240"/>
              <w:jc w:val="left"/>
              <w:rPr>
                <w:szCs w:val="24"/>
              </w:rPr>
            </w:pPr>
            <w:r>
              <w:rPr>
                <w:szCs w:val="24"/>
              </w:rPr>
              <w:t>Анализът показва, че доходът получен от селскостопански дейности при бенефициентите се откроява от сред</w:t>
            </w:r>
            <w:r>
              <w:rPr>
                <w:szCs w:val="24"/>
              </w:rPr>
              <w:t>ния доход на национално ниво и през отчетния период бележи известен растеж.  Както беше отбелязано и по показателя за резултат R2, средния доход на национално ниво е нисък, тъй като над половината стопанства участващи в статистиката, се явяват домакинства,</w:t>
            </w:r>
            <w:r>
              <w:rPr>
                <w:szCs w:val="24"/>
              </w:rPr>
              <w:t xml:space="preserve"> за които земеделието или животновъдството са традиционни начини на съществуване, а не предприятие. Тези стопанства, а по същество – самонаети лица, произвеждат продукция главно за собствени нужди, продават главно излишъка си и често имат страничен доход о</w:t>
            </w:r>
            <w:r>
              <w:rPr>
                <w:szCs w:val="24"/>
              </w:rPr>
              <w:t>т трудова дейност или пенсия. Друга причина за голямата разлика между бенефициенти и други стопанства, са критериите за участие в ПРСР. Съпоставими са данните за не-бенефициенти, които удовлетворяват в значителна степен изискванията на ПРСР, но не са получ</w:t>
            </w:r>
            <w:r>
              <w:rPr>
                <w:szCs w:val="24"/>
              </w:rPr>
              <w:t>или подпомагане. Разликата между предприемаческия доход на бенефициенти и не-бенефициенти теоретически се счита за нетен ефект от ПРСР. Тази разлика обаче надвишава годишната възвръщаемостта на инвестициите извършени от безвъзмездната помощ. Това означава,</w:t>
            </w:r>
            <w:r>
              <w:rPr>
                <w:szCs w:val="24"/>
              </w:rPr>
              <w:t xml:space="preserve"> че инвестициите на бенефициентите са били важни за техните предприятия и са не само икономически възвращаеми, но са допринесли за съществени качествени изменения в производството. При допълнителен анализ на факторите за увеличаване на добавената стойност,</w:t>
            </w:r>
            <w:r>
              <w:rPr>
                <w:szCs w:val="24"/>
              </w:rPr>
              <w:t xml:space="preserve"> бенефициентите по-често от не-бенефициентите посочват, че добавената стойност в техните стопанства, е резултат от намирането на благоприятен момент за най-изгодна сделка, например договор за доставка на продукт в точно определен момент на определен клиент</w:t>
            </w:r>
            <w:r>
              <w:rPr>
                <w:szCs w:val="24"/>
              </w:rPr>
              <w:t>. Това означава, че инвестициите при бенефициентите в по-висока степен съответстват на конкретно търсене и изисквания на конкретни клиенти и съответно носят по-висока БДС. При не-бенефициентите, известен превес (с около 20 на сто) има факторът висок обем н</w:t>
            </w:r>
            <w:r>
              <w:rPr>
                <w:szCs w:val="24"/>
              </w:rPr>
              <w:t>а произведена и реализирана продукция, т.е. БДС при тях в по-голяма степен зависи от общата икономическа конюнктура и цените на масовите селскостопански продукти. Почти половината анкетирани бенефициенти, не са ползвали заеми за инвестиции за отчетния пери</w:t>
            </w:r>
            <w:r>
              <w:rPr>
                <w:szCs w:val="24"/>
              </w:rPr>
              <w:t>од, т.е. техният предприемачески доход не намалява с дължими лихви, което ги поставя в по-благоприятно положение от не-бенефициентите. Почти всички анкетирани не-бенефициенти с ползвали инвестиционни заеми. Сред не-бенефициентите, делът на свободните от кр</w:t>
            </w:r>
            <w:r>
              <w:rPr>
                <w:szCs w:val="24"/>
              </w:rPr>
              <w:t>едитни задължения стопанства е едва около 10 на сто.</w:t>
            </w:r>
          </w:p>
          <w:p w:rsidR="002B3815" w:rsidRDefault="0099452B">
            <w:pPr>
              <w:spacing w:before="240" w:after="240"/>
              <w:jc w:val="left"/>
              <w:rPr>
                <w:szCs w:val="24"/>
              </w:rPr>
            </w:pPr>
            <w:r>
              <w:rPr>
                <w:b/>
                <w:bCs/>
                <w:szCs w:val="24"/>
              </w:rPr>
              <w:t>Импакт-индикатор I.02</w:t>
            </w:r>
          </w:p>
          <w:p w:rsidR="002B3815" w:rsidRDefault="0099452B">
            <w:pPr>
              <w:spacing w:before="240" w:after="240"/>
              <w:jc w:val="left"/>
              <w:rPr>
                <w:szCs w:val="24"/>
              </w:rPr>
            </w:pPr>
            <w:r>
              <w:rPr>
                <w:szCs w:val="24"/>
              </w:rPr>
              <w:t>Източници: 1. Данни от анкета на изводкова група от бенефициенти и контролна група от не-бенефициенти на ПРСР /по метод  Regression Discontinuity Design (RDD)/; 2. Интерполирани дан</w:t>
            </w:r>
            <w:r>
              <w:rPr>
                <w:szCs w:val="24"/>
              </w:rPr>
              <w:t>ни от НСИ - добавена стойност по факторни разходи, отработено време; 3. Методика съгласно Impact Indicator Fiches (ноември 2018 г.). </w:t>
            </w:r>
          </w:p>
          <w:p w:rsidR="002B3815" w:rsidRDefault="0099452B">
            <w:pPr>
              <w:spacing w:before="240" w:after="240"/>
              <w:jc w:val="left"/>
              <w:rPr>
                <w:szCs w:val="24"/>
              </w:rPr>
            </w:pPr>
            <w:r>
              <w:rPr>
                <w:szCs w:val="24"/>
              </w:rPr>
              <w:t>Факторният доход измерва възмездяването на всички производствени фактори (земя, капитал, труд), независимо дали те са собс</w:t>
            </w:r>
            <w:r>
              <w:rPr>
                <w:szCs w:val="24"/>
              </w:rPr>
              <w:t>твени или под наем и представлява цялата стойност, генерирана (за 12 месеца) от работна единица, която се занимава със селскостопанска дейност.</w:t>
            </w:r>
          </w:p>
          <w:p w:rsidR="002B3815" w:rsidRDefault="0099452B">
            <w:pPr>
              <w:spacing w:before="240" w:after="240"/>
              <w:jc w:val="left"/>
              <w:rPr>
                <w:szCs w:val="24"/>
              </w:rPr>
            </w:pPr>
            <w:r>
              <w:rPr>
                <w:szCs w:val="24"/>
              </w:rPr>
              <w:t xml:space="preserve">Данните показват, че при бенефициентите на ПРСР, публичното финансиране значително  е увеличило способността на </w:t>
            </w:r>
            <w:r>
              <w:rPr>
                <w:szCs w:val="24"/>
              </w:rPr>
              <w:t>подпомогнатите земеделски стопанства, да възстановяват капитал, да плащат  заплати и рента на наета земя, както и да покриват собствените си производствени факторни разходи.</w:t>
            </w:r>
          </w:p>
          <w:p w:rsidR="002B3815" w:rsidRDefault="002B3815">
            <w:pPr>
              <w:pStyle w:val="BodyText"/>
            </w:pPr>
          </w:p>
          <w:p w:rsidR="002B3815" w:rsidRDefault="0099452B">
            <w:pPr>
              <w:pStyle w:val="BodyText3"/>
              <w:jc w:val="left"/>
            </w:pPr>
            <w:r w:rsidRPr="0099452B">
              <w:rPr>
                <w:noProof/>
                <w:lang w:val="en-US"/>
              </w:rPr>
              <w:pict>
                <v:shape id="Picture 100035" o:spid="_x0000_i1027" type="#_x0000_t75" style="width:522pt;height:420pt;visibility:visible;mso-wrap-style:square">
                  <v:imagedata r:id="rId45" o:title=""/>
                </v:shape>
              </w:pict>
            </w:r>
          </w:p>
          <w:p w:rsidR="002B3815" w:rsidRDefault="0099452B">
            <w:pPr>
              <w:pStyle w:val="Footer"/>
              <w:jc w:val="center"/>
            </w:pPr>
            <w:r>
              <w:t>Импакт-индикатор I.01</w:t>
            </w:r>
          </w:p>
          <w:p w:rsidR="002B3815" w:rsidRDefault="0099452B">
            <w:pPr>
              <w:pStyle w:val="Footer"/>
            </w:pPr>
            <w:r w:rsidRPr="0099452B">
              <w:rPr>
                <w:noProof/>
                <w:lang w:val="en-US"/>
              </w:rPr>
              <w:pict>
                <v:shape id="Picture 100036" o:spid="_x0000_i1026" type="#_x0000_t75" style="width:522pt;height:436.5pt;visibility:visible;mso-wrap-style:square">
                  <v:imagedata r:id="rId46" o:title=""/>
                </v:shape>
              </w:pict>
            </w:r>
          </w:p>
          <w:p w:rsidR="002B3815" w:rsidRDefault="0099452B">
            <w:pPr>
              <w:pStyle w:val="Footer"/>
              <w:jc w:val="center"/>
            </w:pPr>
            <w:r>
              <w:t>Импакт-индикатор I.02</w:t>
            </w:r>
          </w:p>
          <w:p w:rsidR="002B3815" w:rsidRDefault="002B3815">
            <w:pPr>
              <w:pStyle w:val="Footer"/>
              <w:jc w:val="center"/>
            </w:pPr>
          </w:p>
        </w:tc>
      </w:tr>
    </w:tbl>
    <w:p w:rsidR="002B3815" w:rsidRDefault="0099452B">
      <w:pPr>
        <w:pStyle w:val="Heading3"/>
        <w:jc w:val="left"/>
      </w:pPr>
      <w:bookmarkStart w:id="170" w:name="_Toc256000219"/>
      <w:bookmarkStart w:id="171" w:name="_Toc256000137"/>
      <w:bookmarkStart w:id="172" w:name="_Toc256000055"/>
      <w:r>
        <w:t xml:space="preserve">CEQ28-SU - To what extent has </w:t>
      </w:r>
      <w:r>
        <w:t>the RDP contributed to the CAP objective of ensuring sustainable management of natural resources and climate action?</w:t>
      </w:r>
      <w:bookmarkEnd w:id="170"/>
      <w:bookmarkEnd w:id="171"/>
      <w:bookmarkEnd w:id="172"/>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T8: процент на гори или други залесени райони, обхванати от договори за управление в подкрепа на биологичното р</w:t>
            </w:r>
            <w:r>
              <w:rPr>
                <w:szCs w:val="24"/>
              </w:rPr>
              <w:t>азнообразие (област с поставен акцент 4А) – 0.</w:t>
            </w:r>
          </w:p>
          <w:p w:rsidR="002B3815" w:rsidRDefault="0099452B">
            <w:pPr>
              <w:spacing w:before="240" w:after="240"/>
              <w:jc w:val="left"/>
              <w:rPr>
                <w:szCs w:val="24"/>
              </w:rPr>
            </w:pPr>
            <w:r>
              <w:rPr>
                <w:szCs w:val="24"/>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 – 13,60.</w:t>
            </w:r>
          </w:p>
          <w:p w:rsidR="002B3815" w:rsidRDefault="0099452B">
            <w:pPr>
              <w:spacing w:before="240" w:after="240"/>
              <w:jc w:val="left"/>
              <w:rPr>
                <w:szCs w:val="24"/>
              </w:rPr>
            </w:pPr>
            <w:r>
              <w:rPr>
                <w:szCs w:val="24"/>
              </w:rPr>
              <w:t>T10: процент на земеделската земя, обхваната</w:t>
            </w:r>
            <w:r>
              <w:rPr>
                <w:szCs w:val="24"/>
              </w:rPr>
              <w:t xml:space="preserve"> от договори за управление с цел подобряване на управлението на водите (област с поставен акцент 4Б) – 2,48.</w:t>
            </w:r>
          </w:p>
          <w:p w:rsidR="002B3815" w:rsidRDefault="0099452B">
            <w:pPr>
              <w:spacing w:before="240" w:after="240"/>
              <w:jc w:val="left"/>
              <w:rPr>
                <w:szCs w:val="24"/>
              </w:rPr>
            </w:pPr>
            <w:r>
              <w:rPr>
                <w:szCs w:val="24"/>
              </w:rPr>
              <w:t>R9/T11 - percentage of forestry land under management contracts to improve water management (focus area 4B). – 0.</w:t>
            </w:r>
          </w:p>
          <w:p w:rsidR="002B3815" w:rsidRDefault="0099452B">
            <w:pPr>
              <w:spacing w:before="240" w:after="240"/>
              <w:jc w:val="left"/>
              <w:rPr>
                <w:szCs w:val="24"/>
              </w:rPr>
            </w:pPr>
            <w:r>
              <w:rPr>
                <w:szCs w:val="24"/>
              </w:rPr>
              <w:t>T12: процент на земеделската земя</w:t>
            </w:r>
            <w:r>
              <w:rPr>
                <w:szCs w:val="24"/>
              </w:rPr>
              <w:t>, обхваната от договори за управление с цел подобряване на управлението на почвите и/или предотвратяване на почвената ерозия (област с поставен акцент 4В) – 2,48.</w:t>
            </w:r>
          </w:p>
          <w:p w:rsidR="002B3815" w:rsidRDefault="0099452B">
            <w:pPr>
              <w:spacing w:before="240" w:after="240"/>
              <w:jc w:val="left"/>
              <w:rPr>
                <w:szCs w:val="24"/>
              </w:rPr>
            </w:pPr>
            <w:r>
              <w:rPr>
                <w:szCs w:val="24"/>
              </w:rPr>
              <w:t>T13: процент на горската земя, обхваната от договори за управление с цел подобряване на управ</w:t>
            </w:r>
            <w:r>
              <w:rPr>
                <w:szCs w:val="24"/>
              </w:rPr>
              <w:t>лението на почвите и/или предотвратяване на почвената ерозия (област с поставен акцент 4В) – 0.</w:t>
            </w:r>
          </w:p>
          <w:p w:rsidR="002B3815" w:rsidRDefault="0099452B">
            <w:pPr>
              <w:spacing w:before="240" w:after="240"/>
              <w:jc w:val="left"/>
              <w:rPr>
                <w:szCs w:val="24"/>
              </w:rPr>
            </w:pPr>
            <w:r>
              <w:rPr>
                <w:szCs w:val="24"/>
              </w:rPr>
              <w:t>T14: процент на поливните площи, преминаващи към по-ефективна напоителна система (област с поставен акцент 5А) – 0.</w:t>
            </w:r>
          </w:p>
          <w:p w:rsidR="002B3815" w:rsidRDefault="0099452B">
            <w:pPr>
              <w:spacing w:before="240" w:after="240"/>
              <w:jc w:val="left"/>
              <w:rPr>
                <w:szCs w:val="24"/>
              </w:rPr>
            </w:pPr>
            <w:r>
              <w:rPr>
                <w:szCs w:val="24"/>
              </w:rPr>
              <w:t>T15: общи инвестиции за енергийна ефективнос</w:t>
            </w:r>
            <w:r>
              <w:rPr>
                <w:szCs w:val="24"/>
              </w:rPr>
              <w:t>т (в евро) (област с поставен акцент 5Б) – 7750600 евро.</w:t>
            </w:r>
          </w:p>
          <w:p w:rsidR="002B3815" w:rsidRDefault="0099452B">
            <w:pPr>
              <w:spacing w:before="240" w:after="240"/>
              <w:jc w:val="left"/>
              <w:rPr>
                <w:szCs w:val="24"/>
              </w:rPr>
            </w:pPr>
            <w:r>
              <w:rPr>
                <w:szCs w:val="24"/>
              </w:rPr>
              <w:t>T16: общ размер на инвестициите в производство на енергия от възобновяеми източници (в евро) (област с поставен акцент 5В) – 298382 евро.</w:t>
            </w:r>
          </w:p>
          <w:p w:rsidR="002B3815" w:rsidRDefault="0099452B">
            <w:pPr>
              <w:spacing w:before="240" w:after="240"/>
              <w:jc w:val="left"/>
              <w:rPr>
                <w:szCs w:val="24"/>
              </w:rPr>
            </w:pPr>
            <w:r>
              <w:rPr>
                <w:szCs w:val="24"/>
              </w:rPr>
              <w:t>T17: процент на ЖЕ, засегнати от инвестиции в управление на д</w:t>
            </w:r>
            <w:r>
              <w:rPr>
                <w:szCs w:val="24"/>
              </w:rPr>
              <w:t>обитък с оглед намаляване на емисиите на парникови газове и/или на амоняк (област с поставен акцент 5Г) – 0,09.</w:t>
            </w:r>
          </w:p>
          <w:p w:rsidR="002B3815" w:rsidRDefault="0099452B">
            <w:pPr>
              <w:spacing w:before="240" w:after="240"/>
              <w:jc w:val="left"/>
              <w:rPr>
                <w:szCs w:val="24"/>
              </w:rPr>
            </w:pPr>
            <w:r>
              <w:rPr>
                <w:szCs w:val="24"/>
              </w:rPr>
              <w:t>T18: процент на земеделската земя, обхваната от договори за управление за намаляване на емисиите на парникови газове и/или на амоняк (област с п</w:t>
            </w:r>
            <w:r>
              <w:rPr>
                <w:szCs w:val="24"/>
              </w:rPr>
              <w:t>оставен акцент 5Г) – 0,02.</w:t>
            </w:r>
          </w:p>
          <w:p w:rsidR="002B3815" w:rsidRDefault="0099452B">
            <w:pPr>
              <w:spacing w:before="240" w:after="240"/>
              <w:jc w:val="left"/>
              <w:rPr>
                <w:szCs w:val="24"/>
              </w:rPr>
            </w:pPr>
            <w:r>
              <w:rPr>
                <w:szCs w:val="24"/>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 – 0.</w:t>
            </w:r>
          </w:p>
          <w:p w:rsidR="002B3815" w:rsidRDefault="0099452B">
            <w:pPr>
              <w:spacing w:before="240" w:after="240"/>
              <w:jc w:val="left"/>
              <w:rPr>
                <w:szCs w:val="24"/>
              </w:rPr>
            </w:pPr>
            <w:r>
              <w:rPr>
                <w:b/>
                <w:bCs/>
                <w:szCs w:val="24"/>
              </w:rPr>
              <w:t>Импакт-индикатор I.10</w:t>
            </w:r>
          </w:p>
          <w:p w:rsidR="002B3815" w:rsidRDefault="0099452B">
            <w:pPr>
              <w:spacing w:before="240" w:after="240"/>
              <w:jc w:val="left"/>
              <w:rPr>
                <w:szCs w:val="24"/>
              </w:rPr>
            </w:pPr>
            <w:r>
              <w:rPr>
                <w:szCs w:val="24"/>
              </w:rPr>
              <w:t xml:space="preserve">Източници: </w:t>
            </w:r>
            <w:r>
              <w:rPr>
                <w:i/>
                <w:iCs/>
                <w:szCs w:val="24"/>
              </w:rPr>
              <w:t xml:space="preserve">1. Данни от анкета на </w:t>
            </w:r>
            <w:r>
              <w:rPr>
                <w:i/>
                <w:iCs/>
                <w:szCs w:val="24"/>
              </w:rPr>
              <w:t>изводкова група от бенефициенти и контролна група от не-бенефициенти на ПРСР /по метод  Regression Discontinuity Design (RDD)/; 2. Интерполирани данни от НСИ - използвана вода по икономически дейности общо за страната, брутна добавена стойност по базисни ц</w:t>
            </w:r>
            <w:r>
              <w:rPr>
                <w:i/>
                <w:iCs/>
                <w:szCs w:val="24"/>
              </w:rPr>
              <w:t>ени; 3. Методика съгласно Impact Indicator Fiches (ноември 2018 г.). </w:t>
            </w:r>
          </w:p>
          <w:p w:rsidR="002B3815" w:rsidRDefault="0099452B">
            <w:pPr>
              <w:spacing w:before="240" w:after="240"/>
              <w:jc w:val="left"/>
              <w:rPr>
                <w:szCs w:val="24"/>
              </w:rPr>
            </w:pPr>
            <w:r>
              <w:rPr>
                <w:szCs w:val="24"/>
              </w:rPr>
              <w:t>Получените данни показват, че стопанства се ориентират към култури, за които не е необходимо интензивно напояване, а при други селскостопански дейности потребяват относително малко вода.</w:t>
            </w:r>
            <w:r>
              <w:rPr>
                <w:szCs w:val="24"/>
              </w:rPr>
              <w:t xml:space="preserve"> Измeненията на климата също способстват за относително увеличаване на брутната добавена стойност (БДС) на м3 използвана вода, тъй като естественото напояване, вследствие по-честите валежи и намалелият брой слънчеви дни, компенсира значително нуждата от до</w:t>
            </w:r>
            <w:r>
              <w:rPr>
                <w:szCs w:val="24"/>
              </w:rPr>
              <w:t>пълнителна вода за напояване.  Следователно, относително високата брутна добавена стойност, в сравнение със средната за сектора, при анализираните стопанства – бенефициенти и кандидатствали но, не одобрени за подпомагане стопани, не се дължи на ефективно и</w:t>
            </w:r>
            <w:r>
              <w:rPr>
                <w:szCs w:val="24"/>
              </w:rPr>
              <w:t>зползване на напоителни системи и по-ефективни технологии за напояване, а на адаптация и преориентация в типологията на стопанствата.</w:t>
            </w:r>
          </w:p>
          <w:p w:rsidR="002B3815" w:rsidRDefault="0099452B">
            <w:pPr>
              <w:spacing w:before="240" w:after="240"/>
              <w:jc w:val="left"/>
              <w:rPr>
                <w:szCs w:val="24"/>
              </w:rPr>
            </w:pPr>
            <w:r>
              <w:rPr>
                <w:szCs w:val="24"/>
              </w:rPr>
              <w:t>Тенденцията на намаляване на поливните площи е валидна за целия ЕС, видно от данните на Евростат</w:t>
            </w:r>
          </w:p>
          <w:p w:rsidR="002B3815" w:rsidRDefault="0099452B">
            <w:pPr>
              <w:spacing w:before="240" w:after="240"/>
              <w:jc w:val="left"/>
              <w:rPr>
                <w:szCs w:val="24"/>
              </w:rPr>
            </w:pPr>
            <w:r>
              <w:rPr>
                <w:szCs w:val="24"/>
              </w:rPr>
              <w:t> http://appsso.eurostat.e</w:t>
            </w:r>
            <w:r>
              <w:rPr>
                <w:szCs w:val="24"/>
              </w:rPr>
              <w:t>c.europa.eu/nui/submitViewTableAction.do ([ef_poirrig]).</w:t>
            </w:r>
          </w:p>
          <w:p w:rsidR="002B3815" w:rsidRDefault="0099452B">
            <w:pPr>
              <w:spacing w:before="240" w:after="240"/>
              <w:jc w:val="left"/>
              <w:rPr>
                <w:szCs w:val="24"/>
              </w:rPr>
            </w:pPr>
            <w:r>
              <w:rPr>
                <w:szCs w:val="24"/>
              </w:rPr>
              <w:t>В България само 1-2% от поливните площи се напояват, съгласно SWОT анализа на хидромелиоративния сектор в България, част от новата Обща стратегия на управление и развитие на хидромелиорациите и защит</w:t>
            </w:r>
            <w:r>
              <w:rPr>
                <w:szCs w:val="24"/>
              </w:rPr>
              <w:t>а от вредното въздействие на водите, която е публикувана на сайта на МЗХГ.</w:t>
            </w:r>
          </w:p>
          <w:p w:rsidR="002B3815" w:rsidRDefault="002B3815">
            <w:pPr>
              <w:pStyle w:val="BodyText"/>
            </w:pPr>
          </w:p>
          <w:p w:rsidR="002B3815" w:rsidRDefault="0099452B">
            <w:pPr>
              <w:pStyle w:val="BodyText3"/>
              <w:jc w:val="left"/>
            </w:pPr>
            <w:r w:rsidRPr="0099452B">
              <w:rPr>
                <w:noProof/>
                <w:lang w:val="en-US"/>
              </w:rPr>
              <w:pict>
                <v:shape id="Picture 100037" o:spid="_x0000_i1025" type="#_x0000_t75" style="width:522pt;height:440.25pt;visibility:visible;mso-wrap-style:square">
                  <v:imagedata r:id="rId47" o:title=""/>
                </v:shape>
              </w:pict>
            </w:r>
          </w:p>
          <w:p w:rsidR="002B3815" w:rsidRDefault="0099452B">
            <w:pPr>
              <w:pStyle w:val="Footer"/>
              <w:jc w:val="center"/>
            </w:pPr>
            <w:r>
              <w:t>Импакт-индикатор I.10</w:t>
            </w:r>
          </w:p>
          <w:p w:rsidR="002B3815" w:rsidRDefault="002B3815">
            <w:pPr>
              <w:pStyle w:val="Footer"/>
              <w:jc w:val="center"/>
            </w:pPr>
          </w:p>
        </w:tc>
      </w:tr>
    </w:tbl>
    <w:p w:rsidR="002B3815" w:rsidRDefault="0099452B">
      <w:pPr>
        <w:pStyle w:val="Heading3"/>
        <w:jc w:val="left"/>
      </w:pPr>
      <w:bookmarkStart w:id="173" w:name="_Toc256000220"/>
      <w:bookmarkStart w:id="174" w:name="_Toc256000138"/>
      <w:bookmarkStart w:id="175" w:name="_Toc256000056"/>
      <w:r>
        <w:t xml:space="preserve">CEQ29-DE - To what extent has the RDP contributed to the CAP objective of achieving a balanced territorial development of rural economies and communities </w:t>
      </w:r>
      <w:r>
        <w:t>including the creation and maintenance of employment?</w:t>
      </w:r>
      <w:bookmarkEnd w:id="173"/>
      <w:bookmarkEnd w:id="174"/>
      <w:bookmarkEnd w:id="175"/>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Относими приоритети и области с поставен акцент Приоритет 6, Области с поставен акцент 6А, 6В и 6С</w:t>
            </w:r>
          </w:p>
          <w:p w:rsidR="002B3815" w:rsidRDefault="0099452B">
            <w:pPr>
              <w:spacing w:before="240" w:after="240"/>
              <w:jc w:val="left"/>
              <w:rPr>
                <w:szCs w:val="24"/>
              </w:rPr>
            </w:pPr>
            <w:r>
              <w:rPr>
                <w:szCs w:val="24"/>
              </w:rPr>
              <w:t>Относими мерки M06, M07, M19.</w:t>
            </w:r>
          </w:p>
          <w:p w:rsidR="002B3815" w:rsidRDefault="0099452B">
            <w:pPr>
              <w:spacing w:before="240" w:after="240"/>
              <w:jc w:val="left"/>
              <w:rPr>
                <w:szCs w:val="24"/>
              </w:rPr>
            </w:pPr>
            <w:r>
              <w:rPr>
                <w:szCs w:val="24"/>
              </w:rPr>
              <w:t> M01, M02, M04, M06, M07, M08, M13, M16, M19.</w:t>
            </w:r>
          </w:p>
          <w:p w:rsidR="002B3815" w:rsidRDefault="0099452B">
            <w:pPr>
              <w:spacing w:before="240" w:after="240"/>
              <w:jc w:val="left"/>
              <w:rPr>
                <w:szCs w:val="24"/>
              </w:rPr>
            </w:pPr>
            <w:r>
              <w:rPr>
                <w:szCs w:val="24"/>
              </w:rPr>
              <w:t>Показатели</w:t>
            </w:r>
          </w:p>
          <w:p w:rsidR="002B3815" w:rsidRDefault="0099452B">
            <w:pPr>
              <w:spacing w:before="240" w:after="240"/>
              <w:jc w:val="left"/>
              <w:rPr>
                <w:szCs w:val="24"/>
              </w:rPr>
            </w:pPr>
            <w:r>
              <w:rPr>
                <w:szCs w:val="24"/>
              </w:rPr>
              <w:t>T20: работни места, разкрити в подпомогнатите проекти (област с поставен акцент 6А) - 706</w:t>
            </w:r>
          </w:p>
          <w:p w:rsidR="002B3815" w:rsidRDefault="0099452B">
            <w:pPr>
              <w:spacing w:before="240" w:after="240"/>
              <w:jc w:val="left"/>
              <w:rPr>
                <w:szCs w:val="24"/>
              </w:rPr>
            </w:pPr>
            <w:r>
              <w:rPr>
                <w:szCs w:val="24"/>
              </w:rPr>
              <w:t>T21: процент от населението в селските райони, обхванато от стратегии за местно развитие (област с поставен акцент 6Б)– 27,53%</w:t>
            </w:r>
          </w:p>
          <w:p w:rsidR="002B3815" w:rsidRDefault="0099452B">
            <w:pPr>
              <w:spacing w:before="240" w:after="240"/>
              <w:jc w:val="left"/>
              <w:rPr>
                <w:szCs w:val="24"/>
              </w:rPr>
            </w:pPr>
            <w:r>
              <w:rPr>
                <w:szCs w:val="24"/>
              </w:rPr>
              <w:t>T22: процент от населението</w:t>
            </w:r>
            <w:r>
              <w:rPr>
                <w:szCs w:val="24"/>
              </w:rPr>
              <w:t xml:space="preserve"> в селските райони, което се възползва от подобрените услуги/инфраструктура (област с поставен акцент 6Б) – 4,57%</w:t>
            </w:r>
          </w:p>
          <w:p w:rsidR="002B3815" w:rsidRDefault="0099452B">
            <w:pPr>
              <w:spacing w:before="240" w:after="240"/>
              <w:jc w:val="left"/>
              <w:rPr>
                <w:szCs w:val="24"/>
              </w:rPr>
            </w:pPr>
            <w:r>
              <w:rPr>
                <w:szCs w:val="24"/>
              </w:rPr>
              <w:t>T23: работни места, разкрити в подпомогнатите проекти (Leader) (област с поставен акцент 6Б) – 0.</w:t>
            </w:r>
          </w:p>
          <w:p w:rsidR="002B3815" w:rsidRDefault="0099452B">
            <w:pPr>
              <w:spacing w:before="240" w:after="240"/>
              <w:jc w:val="left"/>
              <w:rPr>
                <w:szCs w:val="24"/>
              </w:rPr>
            </w:pPr>
            <w:r>
              <w:rPr>
                <w:szCs w:val="24"/>
              </w:rPr>
              <w:t>T24: процент от населението в селските район</w:t>
            </w:r>
            <w:r>
              <w:rPr>
                <w:szCs w:val="24"/>
              </w:rPr>
              <w:t>и, което се възползва от нови или подобрени услуги/инфраструктура (ИКТ) (област с поставен акцент 6В) – 0.</w:t>
            </w:r>
          </w:p>
          <w:p w:rsidR="002B3815" w:rsidRDefault="0099452B">
            <w:pPr>
              <w:spacing w:before="240" w:after="240"/>
              <w:jc w:val="left"/>
              <w:rPr>
                <w:szCs w:val="24"/>
              </w:rPr>
            </w:pPr>
            <w:r>
              <w:rPr>
                <w:szCs w:val="24"/>
              </w:rPr>
              <w:t>По данни на НСИ коефициента на заети лица към 2018 г. е 58.5% или 645,8 хил. души. Това е значително увеличение в сравнение с 2016 г., когато този ко</w:t>
            </w:r>
            <w:r>
              <w:rPr>
                <w:szCs w:val="24"/>
              </w:rPr>
              <w:t>ефициент е под 50%. Съществено е и намалението на национално ниво на процента хора от 41,3% през 2015 до 32,8% през 2018 г., живеещи под прага на бедност в селските райони.</w:t>
            </w:r>
          </w:p>
          <w:p w:rsidR="002B3815" w:rsidRDefault="0099452B">
            <w:pPr>
              <w:spacing w:before="240" w:after="240"/>
              <w:jc w:val="left"/>
              <w:rPr>
                <w:szCs w:val="24"/>
              </w:rPr>
            </w:pPr>
            <w:r>
              <w:rPr>
                <w:szCs w:val="24"/>
              </w:rPr>
              <w:t>Чрез прилагане на публичните мерки по ПРСР 2014-2020 г. и по-точно М07 към 31.12.20</w:t>
            </w:r>
            <w:r>
              <w:rPr>
                <w:szCs w:val="24"/>
              </w:rPr>
              <w:t>18 г. са били обхванати 273 595 броя жители се ползват от подобрена услуга/ инфраструктура, което 13,71% от планираната цел за 2023 г. Населението обхванато от стратегии за местно развитие в селските райони е 27,53%.</w:t>
            </w:r>
          </w:p>
          <w:p w:rsidR="002B3815" w:rsidRDefault="0099452B">
            <w:pPr>
              <w:spacing w:before="240" w:after="240"/>
              <w:jc w:val="left"/>
              <w:rPr>
                <w:szCs w:val="24"/>
              </w:rPr>
            </w:pPr>
            <w:r>
              <w:rPr>
                <w:szCs w:val="24"/>
              </w:rPr>
              <w:t>ПРСР е основен фактор за постигане на б</w:t>
            </w:r>
            <w:r>
              <w:rPr>
                <w:szCs w:val="24"/>
              </w:rPr>
              <w:t>алансирано териториално развитие на селските икономики и общности, включително създаването и поддържането на заетост.</w:t>
            </w:r>
          </w:p>
          <w:p w:rsidR="002B3815" w:rsidRDefault="002B3815">
            <w:pPr>
              <w:pStyle w:val="BodyText"/>
            </w:pPr>
          </w:p>
        </w:tc>
      </w:tr>
    </w:tbl>
    <w:p w:rsidR="002B3815" w:rsidRDefault="0099452B">
      <w:pPr>
        <w:pStyle w:val="Heading3"/>
        <w:jc w:val="left"/>
      </w:pPr>
      <w:bookmarkStart w:id="176" w:name="_Toc256000221"/>
      <w:bookmarkStart w:id="177" w:name="_Toc256000139"/>
      <w:bookmarkStart w:id="178" w:name="_Toc256000057"/>
      <w:r>
        <w:t>CEQ30-IN - To what extent has the RDP contributed to fostering innovation?</w:t>
      </w:r>
      <w:bookmarkEnd w:id="176"/>
      <w:bookmarkEnd w:id="177"/>
      <w:bookmarkEnd w:id="178"/>
    </w:p>
    <w:p w:rsidR="002B3815" w:rsidRDefault="0099452B">
      <w:pPr>
        <w:pStyle w:val="Heading4"/>
        <w:jc w:val="left"/>
      </w:pPr>
      <w:r>
        <w:t>Отговор на въпрос за оценка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pPr>
              <w:spacing w:before="0" w:after="240"/>
              <w:jc w:val="left"/>
              <w:rPr>
                <w:szCs w:val="24"/>
              </w:rPr>
            </w:pPr>
            <w:r>
              <w:rPr>
                <w:szCs w:val="24"/>
              </w:rPr>
              <w:t xml:space="preserve">Потребността от стимулиране на </w:t>
            </w:r>
            <w:r>
              <w:rPr>
                <w:szCs w:val="24"/>
              </w:rPr>
              <w:t>иновации е една от установените потребности при програмирането на ПРСР 2014-2020.</w:t>
            </w:r>
          </w:p>
          <w:p w:rsidR="002B3815" w:rsidRDefault="0099452B">
            <w:pPr>
              <w:spacing w:before="240" w:after="240"/>
              <w:jc w:val="left"/>
              <w:rPr>
                <w:szCs w:val="24"/>
              </w:rPr>
            </w:pPr>
            <w:r>
              <w:rPr>
                <w:szCs w:val="24"/>
              </w:rPr>
              <w:t>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w:t>
            </w:r>
            <w:r>
              <w:rPr>
                <w:szCs w:val="24"/>
              </w:rPr>
              <w:t>нителната промишленост е определена като приоритетен сектор с потенциал да развие конкурентни предимства на база иновации.</w:t>
            </w:r>
          </w:p>
          <w:p w:rsidR="002B3815" w:rsidRDefault="0099452B">
            <w:pPr>
              <w:spacing w:before="240" w:after="240"/>
              <w:jc w:val="left"/>
              <w:rPr>
                <w:szCs w:val="24"/>
              </w:rPr>
            </w:pPr>
            <w:r>
              <w:rPr>
                <w:szCs w:val="24"/>
              </w:rPr>
              <w:t>ПРСР 2014-2020 насърчава иновациите чрез интервенции по повишаване на осведомеността, стимулиране сътрудничеството и развитието на ба</w:t>
            </w:r>
            <w:r>
              <w:rPr>
                <w:szCs w:val="24"/>
              </w:rPr>
              <w:t>зата от знания в селските райони, повишаване на конкурентоспособността на стопанства в определените за приоритетни сектори, подобряване на вертикалното и хоризонталното сътрудничество между земеделските производители, преработватели и търговци.</w:t>
            </w:r>
          </w:p>
          <w:p w:rsidR="002B3815" w:rsidRDefault="0099452B">
            <w:pPr>
              <w:spacing w:before="240" w:after="240"/>
              <w:jc w:val="left"/>
              <w:rPr>
                <w:szCs w:val="24"/>
              </w:rPr>
            </w:pPr>
            <w:r>
              <w:rPr>
                <w:szCs w:val="24"/>
              </w:rPr>
              <w:t>Приоритет п</w:t>
            </w:r>
            <w:r>
              <w:rPr>
                <w:szCs w:val="24"/>
              </w:rPr>
              <w:t>ри оценката на постъпили предложения по под мерки 4.1 и 4.2 от ПРСР 2014-2020 се дава на проекти за въвеждане на нови и енергоспестяващи технологии и иновации в преработвателната промишленост.</w:t>
            </w:r>
          </w:p>
          <w:p w:rsidR="002B3815" w:rsidRDefault="0099452B">
            <w:pPr>
              <w:spacing w:before="240" w:after="240"/>
              <w:jc w:val="left"/>
              <w:rPr>
                <w:szCs w:val="24"/>
              </w:rPr>
            </w:pPr>
            <w:r>
              <w:rPr>
                <w:szCs w:val="24"/>
              </w:rPr>
              <w:t>Изискването към кандидатите, за да получат приоритет е да разпо</w:t>
            </w:r>
            <w:r>
              <w:rPr>
                <w:szCs w:val="24"/>
              </w:rPr>
              <w:t>лагат с удостоверение за ползван патент и/или удостоверение за полезен модел или внедряване на инвестиции, изпълнени по чл. 35 от Регламент 1305/2013, издадено в рамките на четири години преди датата на подаване на проектното предложение. Това от своя стра</w:t>
            </w:r>
            <w:r>
              <w:rPr>
                <w:szCs w:val="24"/>
              </w:rPr>
              <w:t>на стеснява възможностите за внедряване на иновативни на ниво предприятие/стопанство технологии и/или услуги.</w:t>
            </w:r>
          </w:p>
          <w:p w:rsidR="002B3815" w:rsidRDefault="0099452B">
            <w:pPr>
              <w:spacing w:before="240" w:after="240"/>
              <w:jc w:val="left"/>
              <w:rPr>
                <w:szCs w:val="24"/>
              </w:rPr>
            </w:pPr>
            <w:r>
              <w:rPr>
                <w:szCs w:val="24"/>
              </w:rPr>
              <w:t>Официалната информация предоставена от ДФЗемеделие обаче не дава възможност за отговор на въпроса до каква степен ПРСР е допринесла за насърчаване</w:t>
            </w:r>
            <w:r>
              <w:rPr>
                <w:szCs w:val="24"/>
              </w:rPr>
              <w:t xml:space="preserve"> на иновациите в количествено измерение.</w:t>
            </w:r>
          </w:p>
          <w:p w:rsidR="002B3815" w:rsidRDefault="002B3815">
            <w:pPr>
              <w:pStyle w:val="BodyText"/>
            </w:pPr>
          </w:p>
        </w:tc>
      </w:tr>
    </w:tbl>
    <w:p w:rsidR="002B3815" w:rsidRDefault="0099452B">
      <w:pPr>
        <w:pStyle w:val="Heading3"/>
        <w:jc w:val="left"/>
      </w:pPr>
      <w:bookmarkStart w:id="179" w:name="_Toc256000222"/>
      <w:bookmarkStart w:id="180" w:name="_Toc256000140"/>
      <w:bookmarkStart w:id="181" w:name="_Toc256000058"/>
      <w:r>
        <w:t>PSEQ01-FA - Специфичен за програмата въпрос за оценка, свързан със специфична за програмата акцентирана област</w:t>
      </w:r>
      <w:bookmarkEnd w:id="179"/>
      <w:bookmarkEnd w:id="180"/>
      <w:bookmarkEnd w:id="181"/>
    </w:p>
    <w:p w:rsidR="002B3815" w:rsidRDefault="0099452B">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99452B">
      <w:pPr>
        <w:pStyle w:val="Heading3"/>
        <w:jc w:val="left"/>
      </w:pPr>
      <w:bookmarkStart w:id="182" w:name="_Toc256000223"/>
      <w:bookmarkStart w:id="183" w:name="_Toc256000141"/>
      <w:bookmarkStart w:id="184" w:name="_Toc256000059"/>
      <w:r>
        <w:t>PSEQ02-FA - Специфичен за програмата въпрос за оценка, свързан със специфична за програмата акцентирана област</w:t>
      </w:r>
      <w:bookmarkEnd w:id="182"/>
      <w:bookmarkEnd w:id="183"/>
      <w:bookmarkEnd w:id="184"/>
    </w:p>
    <w:p w:rsidR="002B3815" w:rsidRDefault="0099452B">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99452B">
      <w:pPr>
        <w:pStyle w:val="Heading3"/>
        <w:jc w:val="left"/>
      </w:pPr>
      <w:bookmarkStart w:id="185" w:name="_Toc256000224"/>
      <w:bookmarkStart w:id="186" w:name="_Toc256000142"/>
      <w:bookmarkStart w:id="187" w:name="_Toc256000060"/>
      <w:r>
        <w:t>PSEQ03-FA - Специфич</w:t>
      </w:r>
      <w:r>
        <w:t>ен за програмата въпрос за оценка, свързан със специфична за програмата акцентирана област</w:t>
      </w:r>
      <w:bookmarkEnd w:id="185"/>
      <w:bookmarkEnd w:id="186"/>
      <w:bookmarkEnd w:id="187"/>
    </w:p>
    <w:p w:rsidR="002B3815" w:rsidRDefault="0099452B">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99452B">
      <w:pPr>
        <w:pStyle w:val="Heading3"/>
        <w:jc w:val="left"/>
      </w:pPr>
      <w:bookmarkStart w:id="188" w:name="_Toc256000225"/>
      <w:bookmarkStart w:id="189" w:name="_Toc256000143"/>
      <w:bookmarkStart w:id="190" w:name="_Toc256000061"/>
      <w:r>
        <w:t>PSEQ04-FA - Специфичен за програмата въпрос за оценка</w:t>
      </w:r>
      <w:r>
        <w:t>, свързан със специфична за програмата акцентирана област</w:t>
      </w:r>
      <w:bookmarkEnd w:id="188"/>
      <w:bookmarkEnd w:id="189"/>
      <w:bookmarkEnd w:id="190"/>
    </w:p>
    <w:p w:rsidR="002B3815" w:rsidRDefault="0099452B">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99452B">
      <w:pPr>
        <w:pStyle w:val="Heading3"/>
        <w:jc w:val="left"/>
      </w:pPr>
      <w:bookmarkStart w:id="191" w:name="_Toc256000226"/>
      <w:bookmarkStart w:id="192" w:name="_Toc256000144"/>
      <w:bookmarkStart w:id="193" w:name="_Toc256000062"/>
      <w:r>
        <w:t>PSEQ05-FA - Специфичен за програмата въпрос за оценка, свързан със специфична за прогр</w:t>
      </w:r>
      <w:r>
        <w:t>амата акцентирана област</w:t>
      </w:r>
      <w:bookmarkEnd w:id="191"/>
      <w:bookmarkEnd w:id="192"/>
      <w:bookmarkEnd w:id="193"/>
    </w:p>
    <w:p w:rsidR="002B3815" w:rsidRDefault="0099452B">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99452B">
      <w:pPr>
        <w:pStyle w:val="Heading3"/>
        <w:jc w:val="left"/>
      </w:pPr>
      <w:bookmarkStart w:id="194" w:name="_Toc256000227"/>
      <w:bookmarkStart w:id="195" w:name="_Toc256000145"/>
      <w:bookmarkStart w:id="196" w:name="_Toc256000063"/>
      <w:r>
        <w:t>PSEQ01-TOPIC - Специфичен за програмата въпрос за оценка, свързан със специфична за програмата тема на оценка</w:t>
      </w:r>
      <w:bookmarkEnd w:id="194"/>
      <w:bookmarkEnd w:id="195"/>
      <w:bookmarkEnd w:id="196"/>
    </w:p>
    <w:p w:rsidR="002B3815" w:rsidRDefault="0099452B">
      <w:r>
        <w:t xml:space="preserve">Този </w:t>
      </w:r>
      <w:r>
        <w:t>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99452B">
      <w:pPr>
        <w:pStyle w:val="Heading3"/>
        <w:jc w:val="left"/>
      </w:pPr>
      <w:bookmarkStart w:id="197" w:name="_Toc256000228"/>
      <w:bookmarkStart w:id="198" w:name="_Toc256000146"/>
      <w:bookmarkStart w:id="199" w:name="_Toc256000064"/>
      <w:r>
        <w:t>PSEQ02-TOPIC - Специфичен за програмата въпрос за оценка, свързан със специфична за програмата тема на оценка</w:t>
      </w:r>
      <w:bookmarkEnd w:id="197"/>
      <w:bookmarkEnd w:id="198"/>
      <w:bookmarkEnd w:id="199"/>
    </w:p>
    <w:p w:rsidR="002B3815" w:rsidRDefault="0099452B">
      <w:r>
        <w:t>Този въпрос е отбелязан като въпрос без</w:t>
      </w:r>
      <w:r>
        <w:t xml:space="preserve">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99452B">
      <w:pPr>
        <w:pStyle w:val="Heading3"/>
        <w:jc w:val="left"/>
      </w:pPr>
      <w:bookmarkStart w:id="200" w:name="_Toc256000229"/>
      <w:bookmarkStart w:id="201" w:name="_Toc256000147"/>
      <w:bookmarkStart w:id="202" w:name="_Toc256000065"/>
      <w:r>
        <w:t>PSEQ03-TOPIC - Специфичен за програмата въпрос за оценка, свързан със специфична за програмата тема на оценка</w:t>
      </w:r>
      <w:bookmarkEnd w:id="200"/>
      <w:bookmarkEnd w:id="201"/>
      <w:bookmarkEnd w:id="202"/>
    </w:p>
    <w:p w:rsidR="002B3815" w:rsidRDefault="0099452B">
      <w:r>
        <w:t>Този въпрос е отбелязан като въпрос без значение за тази версия на годишн</w:t>
      </w:r>
      <w:r>
        <w:t>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99452B">
      <w:pPr>
        <w:pStyle w:val="Heading3"/>
        <w:jc w:val="left"/>
      </w:pPr>
      <w:bookmarkStart w:id="203" w:name="_Toc256000230"/>
      <w:bookmarkStart w:id="204" w:name="_Toc256000148"/>
      <w:bookmarkStart w:id="205" w:name="_Toc256000066"/>
      <w:r>
        <w:t>PSEQ04-TOPIC - Специфичен за програмата въпрос за оценка, свързан със специфична за програмата тема на оценка</w:t>
      </w:r>
      <w:bookmarkEnd w:id="203"/>
      <w:bookmarkEnd w:id="204"/>
      <w:bookmarkEnd w:id="205"/>
    </w:p>
    <w:p w:rsidR="002B3815" w:rsidRDefault="0099452B">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w:t>
            </w:r>
            <w:r>
              <w:t>имо</w:t>
            </w:r>
          </w:p>
        </w:tc>
      </w:tr>
    </w:tbl>
    <w:p w:rsidR="002B3815" w:rsidRDefault="0099452B">
      <w:pPr>
        <w:pStyle w:val="Heading3"/>
        <w:jc w:val="left"/>
      </w:pPr>
      <w:bookmarkStart w:id="206" w:name="_Toc256000231"/>
      <w:bookmarkStart w:id="207" w:name="_Toc256000149"/>
      <w:bookmarkStart w:id="208" w:name="_Toc256000067"/>
      <w:r>
        <w:t>PSEQ05-TOPIC - Специфичен за програмата въпрос за оценка, свързан със специфична за програмата тема на оценка</w:t>
      </w:r>
      <w:bookmarkEnd w:id="206"/>
      <w:bookmarkEnd w:id="207"/>
      <w:bookmarkEnd w:id="208"/>
    </w:p>
    <w:p w:rsidR="002B3815" w:rsidRDefault="0099452B">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2B3815">
        <w:tc>
          <w:tcPr>
            <w:tcW w:w="3000" w:type="pct"/>
            <w:shd w:val="clear" w:color="auto" w:fill="auto"/>
            <w:tcMar>
              <w:top w:w="20" w:type="dxa"/>
              <w:left w:w="20" w:type="dxa"/>
              <w:bottom w:w="20" w:type="dxa"/>
            </w:tcMar>
            <w:vAlign w:val="center"/>
          </w:tcPr>
          <w:p w:rsidR="002B3815" w:rsidRDefault="0099452B">
            <w:r>
              <w:t>Неприложимо</w:t>
            </w:r>
          </w:p>
        </w:tc>
      </w:tr>
    </w:tbl>
    <w:p w:rsidR="002B3815" w:rsidRDefault="002B3815">
      <w:pPr>
        <w:sectPr w:rsidR="002B3815">
          <w:pgSz w:w="12240" w:h="15840"/>
          <w:pgMar w:top="900" w:right="900" w:bottom="900" w:left="900" w:header="720" w:footer="720" w:gutter="0"/>
          <w:cols w:space="720"/>
        </w:sectPr>
      </w:pPr>
    </w:p>
    <w:p w:rsidR="002B3815" w:rsidRDefault="0099452B">
      <w:pPr>
        <w:pStyle w:val="Heading2"/>
      </w:pPr>
      <w:bookmarkStart w:id="209" w:name="_Toc256000232"/>
      <w:bookmarkStart w:id="210" w:name="_Toc256000150"/>
      <w:bookmarkStart w:id="211" w:name="_Toc256000068"/>
      <w:r>
        <w:t xml:space="preserve">Table of result </w:t>
      </w:r>
      <w:r>
        <w:t>indicators</w:t>
      </w:r>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1"/>
        <w:gridCol w:w="1417"/>
        <w:gridCol w:w="1417"/>
        <w:gridCol w:w="1417"/>
        <w:gridCol w:w="1417"/>
        <w:gridCol w:w="1417"/>
        <w:gridCol w:w="3542"/>
      </w:tblGrid>
      <w:tr w:rsidR="002B3815">
        <w:tc>
          <w:tcPr>
            <w:tcW w:w="1250" w:type="pct"/>
            <w:shd w:val="clear" w:color="auto" w:fill="C0C0C0"/>
            <w:tcMar>
              <w:top w:w="20" w:type="dxa"/>
              <w:left w:w="20" w:type="dxa"/>
              <w:bottom w:w="20" w:type="dxa"/>
            </w:tcMar>
            <w:vAlign w:val="bottom"/>
          </w:tcPr>
          <w:p w:rsidR="002B3815" w:rsidRDefault="0099452B">
            <w:pPr>
              <w:jc w:val="center"/>
              <w:rPr>
                <w:sz w:val="16"/>
              </w:rPr>
            </w:pPr>
            <w:r>
              <w:rPr>
                <w:sz w:val="16"/>
              </w:rPr>
              <w:t>Показател за резултат и мерна единица</w:t>
            </w:r>
          </w:p>
          <w:p w:rsidR="002B3815" w:rsidRDefault="0099452B">
            <w:pPr>
              <w:jc w:val="center"/>
              <w:rPr>
                <w:sz w:val="16"/>
              </w:rPr>
            </w:pPr>
            <w:r>
              <w:rPr>
                <w:sz w:val="16"/>
              </w:rPr>
              <w:t>(1)</w:t>
            </w:r>
          </w:p>
        </w:tc>
        <w:tc>
          <w:tcPr>
            <w:tcW w:w="500" w:type="pct"/>
            <w:shd w:val="clear" w:color="auto" w:fill="C0C0C0"/>
            <w:tcMar>
              <w:top w:w="20" w:type="dxa"/>
              <w:left w:w="20" w:type="dxa"/>
              <w:bottom w:w="20" w:type="dxa"/>
            </w:tcMar>
            <w:vAlign w:val="bottom"/>
          </w:tcPr>
          <w:p w:rsidR="002B3815" w:rsidRDefault="0099452B">
            <w:pPr>
              <w:jc w:val="center"/>
              <w:rPr>
                <w:sz w:val="16"/>
              </w:rPr>
            </w:pPr>
            <w:r>
              <w:rPr>
                <w:sz w:val="16"/>
              </w:rPr>
              <w:t>Целева стойност</w:t>
            </w:r>
          </w:p>
          <w:p w:rsidR="002B3815" w:rsidRDefault="0099452B">
            <w:pPr>
              <w:jc w:val="center"/>
              <w:rPr>
                <w:sz w:val="16"/>
              </w:rPr>
            </w:pPr>
            <w:r>
              <w:rPr>
                <w:sz w:val="16"/>
              </w:rPr>
              <w:t>(2)</w:t>
            </w:r>
          </w:p>
        </w:tc>
        <w:tc>
          <w:tcPr>
            <w:tcW w:w="500" w:type="pct"/>
            <w:shd w:val="clear" w:color="auto" w:fill="C0C0C0"/>
            <w:tcMar>
              <w:top w:w="20" w:type="dxa"/>
              <w:left w:w="20" w:type="dxa"/>
              <w:bottom w:w="20" w:type="dxa"/>
            </w:tcMar>
            <w:vAlign w:val="bottom"/>
          </w:tcPr>
          <w:p w:rsidR="002B3815" w:rsidRDefault="0099452B">
            <w:pPr>
              <w:jc w:val="center"/>
              <w:rPr>
                <w:sz w:val="16"/>
              </w:rPr>
            </w:pPr>
            <w:r>
              <w:rPr>
                <w:sz w:val="16"/>
              </w:rPr>
              <w:t>Главна стойност</w:t>
            </w:r>
          </w:p>
          <w:p w:rsidR="002B3815" w:rsidRDefault="0099452B">
            <w:pPr>
              <w:jc w:val="center"/>
              <w:rPr>
                <w:sz w:val="16"/>
              </w:rPr>
            </w:pPr>
            <w:r>
              <w:rPr>
                <w:sz w:val="16"/>
              </w:rPr>
              <w:t>(3)</w:t>
            </w:r>
          </w:p>
        </w:tc>
        <w:tc>
          <w:tcPr>
            <w:tcW w:w="500" w:type="pct"/>
            <w:shd w:val="clear" w:color="auto" w:fill="C0C0C0"/>
            <w:tcMar>
              <w:top w:w="20" w:type="dxa"/>
              <w:left w:w="20" w:type="dxa"/>
              <w:bottom w:w="20" w:type="dxa"/>
            </w:tcMar>
            <w:vAlign w:val="bottom"/>
          </w:tcPr>
          <w:p w:rsidR="002B3815" w:rsidRDefault="0099452B">
            <w:pPr>
              <w:jc w:val="center"/>
              <w:rPr>
                <w:sz w:val="16"/>
              </w:rPr>
            </w:pPr>
            <w:r>
              <w:rPr>
                <w:sz w:val="16"/>
              </w:rPr>
              <w:t>Вторичен принос</w:t>
            </w:r>
          </w:p>
          <w:p w:rsidR="002B3815" w:rsidRDefault="0099452B">
            <w:pPr>
              <w:jc w:val="center"/>
              <w:rPr>
                <w:sz w:val="16"/>
              </w:rPr>
            </w:pPr>
            <w:r>
              <w:rPr>
                <w:sz w:val="16"/>
              </w:rPr>
              <w:t>(4)</w:t>
            </w:r>
          </w:p>
        </w:tc>
        <w:tc>
          <w:tcPr>
            <w:tcW w:w="500" w:type="pct"/>
            <w:shd w:val="clear" w:color="auto" w:fill="C0C0C0"/>
            <w:tcMar>
              <w:top w:w="20" w:type="dxa"/>
              <w:left w:w="20" w:type="dxa"/>
              <w:bottom w:w="20" w:type="dxa"/>
            </w:tcMar>
            <w:vAlign w:val="bottom"/>
          </w:tcPr>
          <w:p w:rsidR="002B3815" w:rsidRDefault="0099452B">
            <w:pPr>
              <w:jc w:val="center"/>
              <w:rPr>
                <w:sz w:val="16"/>
              </w:rPr>
            </w:pPr>
            <w:r>
              <w:rPr>
                <w:sz w:val="16"/>
              </w:rPr>
              <w:t>Принос по програмата LEADER/ВОМР</w:t>
            </w:r>
          </w:p>
          <w:p w:rsidR="002B3815" w:rsidRDefault="0099452B">
            <w:pPr>
              <w:jc w:val="center"/>
              <w:rPr>
                <w:sz w:val="16"/>
              </w:rPr>
            </w:pPr>
            <w:r>
              <w:rPr>
                <w:sz w:val="16"/>
              </w:rPr>
              <w:t>(5)</w:t>
            </w:r>
          </w:p>
        </w:tc>
        <w:tc>
          <w:tcPr>
            <w:tcW w:w="500" w:type="pct"/>
            <w:shd w:val="clear" w:color="auto" w:fill="C0C0C0"/>
            <w:tcMar>
              <w:top w:w="20" w:type="dxa"/>
              <w:left w:w="20" w:type="dxa"/>
              <w:bottom w:w="20" w:type="dxa"/>
            </w:tcMar>
            <w:vAlign w:val="bottom"/>
          </w:tcPr>
          <w:p w:rsidR="002B3815" w:rsidRDefault="0099452B">
            <w:pPr>
              <w:jc w:val="center"/>
              <w:rPr>
                <w:sz w:val="16"/>
              </w:rPr>
            </w:pPr>
            <w:r>
              <w:rPr>
                <w:sz w:val="16"/>
              </w:rPr>
              <w:t>Общо ПРСР</w:t>
            </w:r>
          </w:p>
          <w:p w:rsidR="002B3815" w:rsidRDefault="0099452B">
            <w:pPr>
              <w:jc w:val="center"/>
              <w:rPr>
                <w:sz w:val="16"/>
              </w:rPr>
            </w:pPr>
            <w:r>
              <w:rPr>
                <w:sz w:val="16"/>
              </w:rPr>
              <w:t>(6)=3+4+5</w:t>
            </w:r>
          </w:p>
        </w:tc>
        <w:tc>
          <w:tcPr>
            <w:tcW w:w="1500" w:type="pct"/>
            <w:shd w:val="clear" w:color="auto" w:fill="C0C0C0"/>
            <w:tcMar>
              <w:top w:w="20" w:type="dxa"/>
              <w:left w:w="20" w:type="dxa"/>
              <w:bottom w:w="20" w:type="dxa"/>
            </w:tcMar>
            <w:vAlign w:val="bottom"/>
          </w:tcPr>
          <w:p w:rsidR="002B3815" w:rsidRDefault="0099452B">
            <w:pPr>
              <w:jc w:val="center"/>
              <w:rPr>
                <w:sz w:val="16"/>
              </w:rPr>
            </w:pPr>
            <w:r>
              <w:rPr>
                <w:sz w:val="16"/>
              </w:rPr>
              <w:t xml:space="preserve">Коментари (макс. 500 знака) </w:t>
            </w:r>
          </w:p>
          <w:p w:rsidR="002B3815" w:rsidRDefault="002B3815">
            <w:pPr>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R1 / T4: процент на земеделските стопанства, получаващи</w:t>
            </w:r>
            <w:r>
              <w:rPr>
                <w:sz w:val="16"/>
              </w:rPr>
              <w:t xml:space="preserve"> подпомагане по ПРСР за инвестиции в преструктуриране или модернизация (област с поставен акцент 2A)</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0,94</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0,31</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0,31</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R2: Change in Agricultural output on supported farms/AWU (Annual Work Unit) (focus area 2A)* (GROSS VALUE)</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 xml:space="preserve">Не се </w:t>
            </w:r>
            <w:r>
              <w:rPr>
                <w:sz w:val="16"/>
              </w:rPr>
              <w:t>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Не се прилага</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R2: Change in Agricultural output on supported farms/AWU (Annual Work Unit) (focus area 2A)* (NET VALUE)</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Не се прилага</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R3 / T5: процент на земеделските стопанства, разполагащи с бизнес план за </w:t>
            </w:r>
            <w:r>
              <w:rPr>
                <w:sz w:val="16"/>
              </w:rPr>
              <w:t>развитие/инвестиции за млади земеделски стопани, подпомагани по ПРСР (област с поставен акцент 2Б)</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0,83</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0,73</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0,73</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R4 / T6: процент на земеделските стопанства, получаващи подпомагане по схеми за качество, местни пазари и къси вериги на </w:t>
            </w:r>
            <w:r>
              <w:rPr>
                <w:sz w:val="16"/>
              </w:rPr>
              <w:t>доставки и групи/организации на производителите (област с поставен акцент 3A)</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0,12</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0,03</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0,03</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R5 / T7: процент на стопанствата, които участват в схеми за управление на риска (област с поставен акцент 3Б)</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R6 / 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2,56</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R7 / T9: процент на земеделската земя, обхваната от договори </w:t>
            </w:r>
            <w:r>
              <w:rPr>
                <w:sz w:val="16"/>
              </w:rPr>
              <w:t>за управление в подкрепа на биологичното разнообразие и/или ландшафти (област с поставен акцент 4А)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12,00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13,60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13,60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R8 / T10: процент на земеделската земя, обхваната от договори за управление с цел подобряване на управлението на </w:t>
            </w:r>
            <w:r>
              <w:rPr>
                <w:sz w:val="16"/>
              </w:rPr>
              <w:t>водите (област с поставен акцент 4Б)</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2,52</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2,48</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2,48</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R9 / T11: процент на горската земя, обхваната от договори за управление с цел подобряване на управлението на водите (област с поставен акцент 4Б)</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R10 /</w:t>
            </w:r>
            <w:r>
              <w:rPr>
                <w:sz w:val="16"/>
              </w:rPr>
              <w:t xml:space="preserve"> 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1,18</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2,48</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2,48</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R11 / T13: процент на горската </w:t>
            </w:r>
            <w:r>
              <w:rPr>
                <w:sz w:val="16"/>
              </w:rPr>
              <w:t>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2,31</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R12 / T14: процент на поливните площи, преминаващи към </w:t>
            </w:r>
            <w:r>
              <w:rPr>
                <w:sz w:val="16"/>
              </w:rPr>
              <w:t>по-ефективни напоителни системи (област с поставен акцент 5А)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38,72</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R13: Increase in efficiency of water use in agriculture in RDP supported projects (focus area 5A)*</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Не се прилага</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R14: Increase in </w:t>
            </w:r>
            <w:r>
              <w:rPr>
                <w:sz w:val="16"/>
              </w:rPr>
              <w:t>efficiency of energy use in agriculture and food-processing in RDP supported projects (focus area 5B)*</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Не се прилага</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R15: Renewable energy produced from supported projects (focus area 5C)*</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Не се прилага</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R16 / T17: </w:t>
            </w:r>
            <w:r>
              <w:rPr>
                <w:sz w:val="16"/>
              </w:rPr>
              <w:t>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1,58</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0,09</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0,09</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R17 / T18: процент на земеделската земя, обхваната от догово</w:t>
            </w:r>
            <w:r>
              <w:rPr>
                <w:sz w:val="16"/>
              </w:rPr>
              <w:t>ри за управление за намаляване на емисиите на парникови газове и/или на амоняк (област с поставен акцент 5Г)</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0,16</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0,02</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0,02</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R18: Reduced emissions of methane and nitrous oxide (focus area 5D)*</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Не се прилага</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R19: </w:t>
            </w:r>
            <w:r>
              <w:rPr>
                <w:sz w:val="16"/>
              </w:rPr>
              <w:t>Reduced ammonia emissions (focus area 5D)*</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Не се прилага</w:t>
            </w: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R20 / 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0,02</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 xml:space="preserve">Не </w:t>
            </w:r>
            <w:r>
              <w:rPr>
                <w:sz w:val="16"/>
              </w:rPr>
              <w:t>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R21 / T20: Jobs created in supported projects (focus area 6A)</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706,00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706,00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1 412,00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 xml:space="preserve">R22 / T21: процент от населението в селските райони, обхванато от стратегии за местно развитие (област с поставен </w:t>
            </w:r>
            <w:r>
              <w:rPr>
                <w:sz w:val="16"/>
              </w:rPr>
              <w:t>акцент 6Б)</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22,91</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27,53</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27,53</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R23 / T22: процент от населението в селските райони, което се възползва от подобрените услуги/инфраструктура (област с поставен акцент 6Б)</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33,36</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4,57</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4,57</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R24 / T23: работни места, разкрити</w:t>
            </w:r>
            <w:r>
              <w:rPr>
                <w:sz w:val="16"/>
              </w:rPr>
              <w:t xml:space="preserve"> в подпомогнатите проекти (LEADER) (област с поставен акцент 6Б)</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600,00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2B3815">
            <w:pPr>
              <w:spacing w:before="20" w:after="20"/>
              <w:jc w:val="right"/>
              <w:rPr>
                <w:sz w:val="16"/>
              </w:rPr>
            </w:pP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r w:rsidR="002B3815">
        <w:tc>
          <w:tcPr>
            <w:tcW w:w="1250" w:type="pct"/>
            <w:shd w:val="clear" w:color="auto" w:fill="FFFFFF"/>
            <w:tcMar>
              <w:top w:w="20" w:type="dxa"/>
              <w:left w:w="20" w:type="dxa"/>
              <w:bottom w:w="20" w:type="dxa"/>
            </w:tcMar>
            <w:vAlign w:val="center"/>
          </w:tcPr>
          <w:p w:rsidR="002B3815" w:rsidRDefault="0099452B">
            <w:pPr>
              <w:spacing w:before="20" w:after="20"/>
              <w:jc w:val="left"/>
              <w:rPr>
                <w:sz w:val="16"/>
              </w:rPr>
            </w:pPr>
            <w:r>
              <w:rPr>
                <w:sz w:val="16"/>
              </w:rPr>
              <w:t>R25 / 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1,64</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Не се прилага</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99452B">
            <w:pPr>
              <w:spacing w:before="20" w:after="20"/>
              <w:jc w:val="right"/>
              <w:rPr>
                <w:sz w:val="16"/>
              </w:rPr>
            </w:pPr>
            <w:r>
              <w:rPr>
                <w:sz w:val="16"/>
              </w:rPr>
              <w:t>0,00</w:t>
            </w:r>
          </w:p>
        </w:tc>
        <w:tc>
          <w:tcPr>
            <w:tcW w:w="500" w:type="pct"/>
            <w:shd w:val="clear" w:color="auto" w:fill="FFFFFF"/>
            <w:tcMar>
              <w:top w:w="20" w:type="dxa"/>
              <w:left w:w="20" w:type="dxa"/>
              <w:bottom w:w="20" w:type="dxa"/>
            </w:tcMar>
          </w:tcPr>
          <w:p w:rsidR="002B3815" w:rsidRDefault="002B3815">
            <w:pPr>
              <w:spacing w:before="20" w:after="20"/>
              <w:jc w:val="left"/>
              <w:rPr>
                <w:sz w:val="16"/>
              </w:rPr>
            </w:pPr>
          </w:p>
        </w:tc>
      </w:tr>
    </w:tbl>
    <w:p w:rsidR="002B3815" w:rsidRDefault="002B3815">
      <w:pPr>
        <w:jc w:val="center"/>
        <w:rPr>
          <w:sz w:val="16"/>
        </w:rPr>
        <w:sectPr w:rsidR="002B3815">
          <w:pgSz w:w="15840" w:h="12240" w:orient="landscape"/>
          <w:pgMar w:top="900" w:right="900" w:bottom="900" w:left="900" w:header="720" w:footer="720" w:gutter="0"/>
          <w:cols w:space="720"/>
        </w:sectPr>
      </w:pPr>
    </w:p>
    <w:p w:rsidR="002B3815" w:rsidRDefault="0099452B">
      <w:pPr>
        <w:pStyle w:val="Heading2"/>
      </w:pPr>
      <w:bookmarkStart w:id="212" w:name="_Toc256000233"/>
      <w:bookmarkStart w:id="213" w:name="_Toc256000151"/>
      <w:bookmarkStart w:id="214" w:name="_Toc256000069"/>
      <w:r>
        <w:t>Table of additional and programme specifc indicators used to support evaluation findings</w:t>
      </w:r>
      <w:bookmarkEnd w:id="212"/>
      <w:bookmarkEnd w:id="213"/>
      <w:bookmarkEnd w:id="214"/>
    </w:p>
    <w:p w:rsidR="002B3815" w:rsidRDefault="0099452B">
      <w:pPr>
        <w:jc w:val="left"/>
        <w:sectPr w:rsidR="002B3815">
          <w:pgSz w:w="12240" w:h="15840"/>
          <w:pgMar w:top="900" w:right="900" w:bottom="900" w:left="900" w:header="720" w:footer="720" w:gutter="0"/>
          <w:cols w:space="720"/>
        </w:sectPr>
      </w:pPr>
      <w:r>
        <w:t>No additional or programme-specific indicators defined</w:t>
      </w:r>
    </w:p>
    <w:p w:rsidR="002B3815" w:rsidRDefault="0099452B">
      <w:pPr>
        <w:pStyle w:val="Heading2"/>
      </w:pPr>
      <w:bookmarkStart w:id="215" w:name="_Toc256000234"/>
      <w:bookmarkStart w:id="216" w:name="_Toc256000152"/>
      <w:bookmarkStart w:id="217" w:name="_Toc256000070"/>
      <w:r>
        <w:t>Table of CAP impact indicators</w:t>
      </w:r>
      <w:bookmarkEnd w:id="215"/>
      <w:bookmarkEnd w:id="216"/>
      <w:bookmarkEnd w:id="2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1"/>
        <w:gridCol w:w="2361"/>
        <w:gridCol w:w="2361"/>
        <w:gridCol w:w="2361"/>
        <w:gridCol w:w="4724"/>
      </w:tblGrid>
      <w:tr w:rsidR="002B3815">
        <w:tc>
          <w:tcPr>
            <w:tcW w:w="500" w:type="pct"/>
            <w:shd w:val="clear" w:color="auto" w:fill="C0C0C0"/>
            <w:tcMar>
              <w:top w:w="20" w:type="dxa"/>
              <w:left w:w="20" w:type="dxa"/>
              <w:bottom w:w="20" w:type="dxa"/>
            </w:tcMar>
            <w:vAlign w:val="center"/>
          </w:tcPr>
          <w:p w:rsidR="002B3815" w:rsidRDefault="0099452B">
            <w:pPr>
              <w:jc w:val="center"/>
              <w:rPr>
                <w:sz w:val="16"/>
              </w:rPr>
            </w:pPr>
            <w:r>
              <w:rPr>
                <w:sz w:val="16"/>
              </w:rPr>
              <w:t xml:space="preserve">Name of common impact </w:t>
            </w:r>
            <w:r>
              <w:rPr>
                <w:sz w:val="16"/>
              </w:rPr>
              <w:t>indicator</w:t>
            </w:r>
          </w:p>
        </w:tc>
        <w:tc>
          <w:tcPr>
            <w:tcW w:w="500" w:type="pct"/>
            <w:shd w:val="clear" w:color="auto" w:fill="C0C0C0"/>
            <w:tcMar>
              <w:top w:w="20" w:type="dxa"/>
              <w:left w:w="20" w:type="dxa"/>
              <w:bottom w:w="20" w:type="dxa"/>
            </w:tcMar>
            <w:vAlign w:val="center"/>
          </w:tcPr>
          <w:p w:rsidR="002B3815" w:rsidRDefault="0099452B">
            <w:pPr>
              <w:jc w:val="center"/>
              <w:rPr>
                <w:sz w:val="16"/>
              </w:rPr>
            </w:pPr>
            <w:r>
              <w:rPr>
                <w:sz w:val="16"/>
              </w:rPr>
              <w:t xml:space="preserve">Мерна единица </w:t>
            </w:r>
          </w:p>
        </w:tc>
        <w:tc>
          <w:tcPr>
            <w:tcW w:w="500" w:type="pct"/>
            <w:shd w:val="clear" w:color="auto" w:fill="C0C0C0"/>
            <w:tcMar>
              <w:top w:w="20" w:type="dxa"/>
              <w:left w:w="20" w:type="dxa"/>
              <w:bottom w:w="20" w:type="dxa"/>
            </w:tcMar>
            <w:vAlign w:val="center"/>
          </w:tcPr>
          <w:p w:rsidR="002B3815" w:rsidRDefault="0099452B">
            <w:pPr>
              <w:jc w:val="center"/>
              <w:rPr>
                <w:sz w:val="16"/>
              </w:rPr>
            </w:pPr>
            <w:r>
              <w:rPr>
                <w:sz w:val="16"/>
              </w:rPr>
              <w:t>Updated indicator value</w:t>
            </w:r>
          </w:p>
        </w:tc>
        <w:tc>
          <w:tcPr>
            <w:tcW w:w="500" w:type="pct"/>
            <w:shd w:val="clear" w:color="auto" w:fill="C0C0C0"/>
            <w:tcMar>
              <w:top w:w="20" w:type="dxa"/>
              <w:left w:w="20" w:type="dxa"/>
              <w:bottom w:w="20" w:type="dxa"/>
            </w:tcMar>
            <w:vAlign w:val="center"/>
          </w:tcPr>
          <w:p w:rsidR="002B3815" w:rsidRDefault="0099452B">
            <w:pPr>
              <w:jc w:val="center"/>
              <w:rPr>
                <w:sz w:val="16"/>
              </w:rPr>
            </w:pPr>
            <w:r>
              <w:rPr>
                <w:sz w:val="16"/>
              </w:rPr>
              <w:t>RDP contribution</w:t>
            </w:r>
          </w:p>
        </w:tc>
        <w:tc>
          <w:tcPr>
            <w:tcW w:w="500" w:type="pct"/>
            <w:shd w:val="clear" w:color="auto" w:fill="C0C0C0"/>
            <w:tcMar>
              <w:top w:w="20" w:type="dxa"/>
              <w:left w:w="20" w:type="dxa"/>
              <w:bottom w:w="20" w:type="dxa"/>
            </w:tcMar>
            <w:vAlign w:val="center"/>
          </w:tcPr>
          <w:p w:rsidR="002B3815" w:rsidRDefault="0099452B">
            <w:pPr>
              <w:jc w:val="center"/>
              <w:rPr>
                <w:sz w:val="16"/>
              </w:rPr>
            </w:pPr>
            <w:r>
              <w:rPr>
                <w:sz w:val="16"/>
              </w:rPr>
              <w:t xml:space="preserve">Коментари (макс. 500 знака) </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 Земеделски предприемачески доход / Жизнен стандарт на земеделските производители</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евро/Годишни работни единици</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6 030,48</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НСИ  за 2017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xml:space="preserve">2. </w:t>
            </w:r>
            <w:r>
              <w:rPr>
                <w:sz w:val="16"/>
              </w:rPr>
              <w:t>Земеделски факторен доход / общо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евро/Годишни работни единици</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10 401,40</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НСИ  за 2017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3. Обща факторна производителност в селското стопанство / общо (индекс)</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Индекс 2005 г. = 100</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178,50</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НСИ  за 2017 г. Последната година към баз</w:t>
            </w:r>
            <w:r>
              <w:rPr>
                <w:sz w:val="16"/>
              </w:rPr>
              <w:t>а 2005 =100 е 2014.От 2015 година е към база 2010=100</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7. Емисии на парникови газове от селското стопанство / общо селско стопанство (CH4 и N2O и емисии/поглъщания в почвата)</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1000 тона CO2 еквивалент</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6 560,44</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ИАОС  за 2017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xml:space="preserve">7. Емисии на </w:t>
            </w:r>
            <w:r>
              <w:rPr>
                <w:sz w:val="16"/>
              </w:rPr>
              <w:t>парникови газове от селското стопанство / дял от общите емисии на парникови газове</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общите нетни емисии</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12,30</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ИАОС  за 2017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7. Емисии на парникови газове от селското стопанство / ammonia emissions from agriculture</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1000 t of NH3</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 xml:space="preserve">Няма </w:t>
            </w:r>
            <w:r>
              <w:rPr>
                <w:sz w:val="16"/>
              </w:rPr>
              <w:t>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8. Индекс за птици, обитаващи обработваема земя / общо (индекс)</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Индекс 2000 г. = 100</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73,22</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ИАОС  за 2017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9. Селско стопанство с висока природна стойност / общо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общата изпол</w:t>
            </w:r>
            <w:r>
              <w:rPr>
                <w:sz w:val="16"/>
              </w:rPr>
              <w:t>звана земеделска земя</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31,20</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2,92</w:t>
            </w: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32874.88 ха-площите обхванати от подмярка 10 и мярка 214 (ангажименти от 2007-2013) по направление Възстановяване и поддържане на затревени площи с висока природна стойност:</w:t>
            </w:r>
          </w:p>
          <w:p w:rsidR="002B3815" w:rsidRDefault="0099452B">
            <w:pPr>
              <w:spacing w:before="20" w:after="20"/>
              <w:jc w:val="left"/>
              <w:rPr>
                <w:sz w:val="16"/>
              </w:rPr>
            </w:pPr>
            <w:r>
              <w:rPr>
                <w:sz w:val="16"/>
              </w:rPr>
              <w:t>-</w:t>
            </w:r>
            <w:r>
              <w:rPr>
                <w:sz w:val="16"/>
              </w:rPr>
              <w:tab/>
              <w:t>8364.16 ха по мярка 214;</w:t>
            </w:r>
          </w:p>
          <w:p w:rsidR="002B3815" w:rsidRDefault="0099452B">
            <w:pPr>
              <w:spacing w:before="20" w:after="20"/>
              <w:jc w:val="left"/>
              <w:rPr>
                <w:sz w:val="16"/>
              </w:rPr>
            </w:pPr>
            <w:r>
              <w:rPr>
                <w:sz w:val="16"/>
              </w:rPr>
              <w:t>-</w:t>
            </w:r>
            <w:r>
              <w:rPr>
                <w:sz w:val="16"/>
              </w:rPr>
              <w:tab/>
              <w:t xml:space="preserve">3537.1 ха по </w:t>
            </w:r>
            <w:r>
              <w:rPr>
                <w:sz w:val="16"/>
              </w:rPr>
              <w:t>подмярка 10(чрез косене);</w:t>
            </w:r>
          </w:p>
          <w:p w:rsidR="002B3815" w:rsidRDefault="0099452B">
            <w:pPr>
              <w:spacing w:before="20" w:after="20"/>
              <w:jc w:val="left"/>
              <w:rPr>
                <w:sz w:val="16"/>
              </w:rPr>
            </w:pPr>
            <w:r>
              <w:rPr>
                <w:sz w:val="16"/>
              </w:rPr>
              <w:t>-</w:t>
            </w:r>
            <w:r>
              <w:rPr>
                <w:sz w:val="16"/>
              </w:rPr>
              <w:tab/>
              <w:t>20973.62 ха по подмярка 10(чрез паша);</w:t>
            </w:r>
          </w:p>
          <w:p w:rsidR="002B3815" w:rsidRDefault="0099452B">
            <w:pPr>
              <w:spacing w:before="20" w:after="20"/>
              <w:jc w:val="left"/>
              <w:rPr>
                <w:sz w:val="16"/>
              </w:rPr>
            </w:pPr>
            <w:r>
              <w:rPr>
                <w:sz w:val="16"/>
              </w:rPr>
              <w:t>119675.92 ха-площите обхванати от подмярка 10 и мярка 214 (ангажименти от 2007-2013) по направление Поддържане на местообитанията на защитени видове в обработваеми земи с орнитологично знач</w:t>
            </w:r>
            <w:r>
              <w:rPr>
                <w:sz w:val="16"/>
              </w:rPr>
              <w:t>ение:</w:t>
            </w:r>
          </w:p>
          <w:p w:rsidR="002B3815" w:rsidRDefault="0099452B">
            <w:pPr>
              <w:spacing w:before="20" w:after="20"/>
              <w:jc w:val="left"/>
              <w:rPr>
                <w:sz w:val="16"/>
              </w:rPr>
            </w:pPr>
            <w:r>
              <w:rPr>
                <w:sz w:val="16"/>
              </w:rPr>
              <w:t>-</w:t>
            </w:r>
            <w:r>
              <w:rPr>
                <w:sz w:val="16"/>
              </w:rPr>
              <w:tab/>
              <w:t>7655.51 ха по мярка</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10. Водочерпене за земеделски цели / общо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1000 m³</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834,50</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НСИ  за 2017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11. Качество на водите / Потенциален излишък на азот в земеделската земя</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kg азот/хектар/година</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 xml:space="preserve">Няма налични данни, които позволяват </w:t>
            </w:r>
            <w:r>
              <w:rPr>
                <w:sz w:val="16"/>
              </w:rPr>
              <w:t>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11. Качество на водите / Потенциален излишък на фосфор в земеделската земя</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kg фосфор/хектар/година</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xml:space="preserve">11. Качество на водите / Нитрати в сладки води — </w:t>
            </w:r>
            <w:r>
              <w:rPr>
                <w:sz w:val="16"/>
              </w:rPr>
              <w:t>Повърхностни води: Добро качество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пунктовете за мониторинг</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11. Качество на водите / Нитрати в сладки води — Повърхностни води: Средно качество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пунктовете за мониторинг</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w:t>
            </w:r>
            <w:r>
              <w:rPr>
                <w:sz w:val="16"/>
              </w:rPr>
              <w:t>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11. Качество на водите / Нитрати в сладки води — Повърхностни води: Лошо качество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пунктовете за мониторинг</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11. Качество на</w:t>
            </w:r>
            <w:r>
              <w:rPr>
                <w:sz w:val="16"/>
              </w:rPr>
              <w:t xml:space="preserve"> водите / Нитрати в сладки води — Подпочвени води: Добро качество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пунктовете за мониторинг</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11. Качество на водите / Нитрати в сладки води — Подпочвени води: Средно качество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xml:space="preserve">% на </w:t>
            </w:r>
            <w:r>
              <w:rPr>
                <w:sz w:val="16"/>
              </w:rPr>
              <w:t>пунктовете за мониторинг</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11. Качество на водите / Нитрати в сладки води — Подпочвени води: Лошо качество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пунктовете за мониторинг</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w:t>
            </w:r>
            <w:r>
              <w:rPr>
                <w:sz w:val="16"/>
              </w:rPr>
              <w:t>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12. Органични вещества в почвите на обработваемата земя / Оценка на общото съдържание на органичен въглерод</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мегатона</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xml:space="preserve">12. Органични вещества в почвите на обработваемата </w:t>
            </w:r>
            <w:r>
              <w:rPr>
                <w:sz w:val="16"/>
              </w:rPr>
              <w:t>земя / Средно съдържание на органичен въглерод</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g на kg</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13. Причинена от вода ерозия на почвата / степен на загуба на почва поради причинена от вода ерозия на почвата</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тона/хектар/година</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13. Причинена от вода ерозия на почвата / засегната земеделска площ</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1000 хектара</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13. Причинена от вода ерозия на почвата</w:t>
            </w:r>
            <w:r>
              <w:rPr>
                <w:sz w:val="16"/>
              </w:rPr>
              <w:t xml:space="preserve"> / засегната земеделска площ</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земеделската земя</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14. Равнище на заетост / * селски райони (слабонаселени) (15-64 години)</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58,80</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НСИ  за 2018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xml:space="preserve">14. Равнище на заетост / </w:t>
            </w:r>
            <w:r>
              <w:rPr>
                <w:sz w:val="16"/>
              </w:rPr>
              <w:t>* rural (thinly populated) (20-64 years)</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72,40</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НСИ  за 2018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15. Равнище на бедността / общо</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общия брой жители</w:t>
            </w:r>
          </w:p>
        </w:tc>
        <w:tc>
          <w:tcPr>
            <w:tcW w:w="0" w:type="auto"/>
            <w:shd w:val="clear" w:color="auto" w:fill="FFFFFF"/>
            <w:tcMar>
              <w:top w:w="20" w:type="dxa"/>
              <w:left w:w="20" w:type="dxa"/>
              <w:bottom w:w="20" w:type="dxa"/>
            </w:tcMar>
          </w:tcPr>
          <w:p w:rsidR="002B3815" w:rsidRDefault="0099452B">
            <w:pPr>
              <w:spacing w:before="20" w:after="20"/>
              <w:jc w:val="right"/>
              <w:rPr>
                <w:sz w:val="16"/>
              </w:rPr>
            </w:pPr>
            <w:r>
              <w:rPr>
                <w:sz w:val="16"/>
              </w:rPr>
              <w:t>22,00</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По данни на НСИ  за 2018 г.</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15. Равнище на бедността / * селски райони (слабонаселени)</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 на общия брой жители</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r w:rsidR="002B3815">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16. БВП на глава от населението / * селски райони</w:t>
            </w:r>
          </w:p>
        </w:tc>
        <w:tc>
          <w:tcPr>
            <w:tcW w:w="500" w:type="pct"/>
            <w:shd w:val="clear" w:color="auto" w:fill="FFFFFF"/>
            <w:tcMar>
              <w:top w:w="20" w:type="dxa"/>
              <w:left w:w="20" w:type="dxa"/>
              <w:bottom w:w="20" w:type="dxa"/>
            </w:tcMar>
          </w:tcPr>
          <w:p w:rsidR="002B3815" w:rsidRDefault="0099452B">
            <w:pPr>
              <w:spacing w:before="20" w:after="20"/>
              <w:jc w:val="left"/>
              <w:rPr>
                <w:sz w:val="16"/>
              </w:rPr>
            </w:pPr>
            <w:r>
              <w:rPr>
                <w:sz w:val="16"/>
              </w:rPr>
              <w:t>Индекс стандарт на покупателната способност (ЕС-27 = 100)</w:t>
            </w: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0" w:type="auto"/>
            <w:shd w:val="clear" w:color="auto" w:fill="FFFFFF"/>
            <w:tcMar>
              <w:top w:w="20" w:type="dxa"/>
              <w:left w:w="20" w:type="dxa"/>
              <w:bottom w:w="20" w:type="dxa"/>
            </w:tcMar>
          </w:tcPr>
          <w:p w:rsidR="002B3815" w:rsidRDefault="002B3815">
            <w:pPr>
              <w:spacing w:before="20" w:after="20"/>
              <w:jc w:val="right"/>
              <w:rPr>
                <w:sz w:val="16"/>
              </w:rPr>
            </w:pPr>
          </w:p>
        </w:tc>
        <w:tc>
          <w:tcPr>
            <w:tcW w:w="1000" w:type="pct"/>
            <w:shd w:val="clear" w:color="auto" w:fill="FFFFFF"/>
            <w:tcMar>
              <w:top w:w="20" w:type="dxa"/>
              <w:left w:w="20" w:type="dxa"/>
              <w:bottom w:w="20" w:type="dxa"/>
            </w:tcMar>
          </w:tcPr>
          <w:p w:rsidR="002B3815" w:rsidRDefault="0099452B">
            <w:pPr>
              <w:spacing w:before="20" w:after="20"/>
              <w:jc w:val="left"/>
              <w:rPr>
                <w:sz w:val="16"/>
              </w:rPr>
            </w:pPr>
            <w:r>
              <w:rPr>
                <w:sz w:val="16"/>
              </w:rPr>
              <w:t>Няма налични данни, които позволяват индикаторът да бъде изведен.</w:t>
            </w:r>
          </w:p>
        </w:tc>
      </w:tr>
    </w:tbl>
    <w:p w:rsidR="002B3815" w:rsidRDefault="002B3815">
      <w:pPr>
        <w:sectPr w:rsidR="002B3815">
          <w:pgSz w:w="15840" w:h="12240" w:orient="landscape"/>
          <w:pgMar w:top="900" w:right="900" w:bottom="900" w:left="900" w:header="720" w:footer="720" w:gutter="0"/>
          <w:cols w:space="720"/>
        </w:sectPr>
      </w:pPr>
    </w:p>
    <w:p w:rsidR="002B3815" w:rsidRDefault="0099452B">
      <w:pPr>
        <w:pStyle w:val="Heading1"/>
      </w:pPr>
      <w:r>
        <w:t xml:space="preserve"> </w:t>
      </w:r>
      <w:bookmarkStart w:id="218" w:name="_Toc256000235"/>
      <w:bookmarkStart w:id="219" w:name="_Toc256000153"/>
      <w:bookmarkStart w:id="220" w:name="_Toc256000071"/>
      <w:r>
        <w:t>Изпълнение на дейности с цел отчитане на принципите, определени в членове 5, 7 и 8 от Регламент (ЕС) № 1303/2013</w:t>
      </w:r>
      <w:bookmarkEnd w:id="218"/>
      <w:bookmarkEnd w:id="219"/>
      <w:bookmarkEnd w:id="220"/>
    </w:p>
    <w:p w:rsidR="002B3815" w:rsidRDefault="0099452B">
      <w:pPr>
        <w:pStyle w:val="Heading2"/>
      </w:pPr>
      <w:bookmarkStart w:id="221" w:name="_Toc256000236"/>
      <w:bookmarkStart w:id="222" w:name="_Toc256000154"/>
      <w:bookmarkStart w:id="223" w:name="_Toc256000072"/>
      <w:r>
        <w:t>Насърчаване на равенството между мъжете и жените и премахването на дискриминацията (член 7 от Регламент (ЕС) № 1303/2013)</w:t>
      </w:r>
      <w:bookmarkEnd w:id="221"/>
      <w:bookmarkEnd w:id="222"/>
      <w:bookmarkEnd w:id="2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1000" w:type="pct"/>
            <w:shd w:val="clear" w:color="auto" w:fill="auto"/>
            <w:tcMar>
              <w:top w:w="20" w:type="dxa"/>
              <w:left w:w="20" w:type="dxa"/>
              <w:bottom w:w="20" w:type="dxa"/>
            </w:tcMar>
          </w:tcPr>
          <w:p w:rsidR="002B3815" w:rsidRDefault="0099452B">
            <w:pPr>
              <w:spacing w:before="0" w:after="240"/>
              <w:jc w:val="left"/>
              <w:rPr>
                <w:szCs w:val="24"/>
              </w:rPr>
            </w:pPr>
            <w:r>
              <w:rPr>
                <w:szCs w:val="24"/>
              </w:rPr>
              <w:t>При</w:t>
            </w:r>
            <w:r>
              <w:rPr>
                <w:szCs w:val="24"/>
              </w:rPr>
              <w:t xml:space="preserve"> разработване на критериите за подбор по мерките и подмерките на ПРСР 2014-2020 г. не е предвидено получаване на преимущество на единия пол пред другия, което само по –себе си се явява насърчаване на равенство между мъжете и жените и премахването на дискри</w:t>
            </w:r>
            <w:r>
              <w:rPr>
                <w:szCs w:val="24"/>
              </w:rPr>
              <w:t xml:space="preserve">минацията.  Мъжете и жените са поставени при равни условия и половата принадлежност не влияе под никаква форма на оценката на проектни предложения. Въпреки описаното по-горе, към настоящия момент  се наблюдава по-висока активност при подаване на заявления </w:t>
            </w:r>
            <w:r>
              <w:rPr>
                <w:szCs w:val="24"/>
              </w:rPr>
              <w:t>за подпомагане от страна на мъжете и съответно по-голям брой сключени договори с тях. </w:t>
            </w:r>
          </w:p>
          <w:p w:rsidR="002B3815" w:rsidRDefault="002B3815">
            <w:pPr>
              <w:pStyle w:val="BodyText"/>
            </w:pPr>
          </w:p>
        </w:tc>
      </w:tr>
    </w:tbl>
    <w:p w:rsidR="002B3815" w:rsidRDefault="0099452B">
      <w:pPr>
        <w:pStyle w:val="Heading2"/>
      </w:pPr>
      <w:bookmarkStart w:id="224" w:name="_Toc256000237"/>
      <w:bookmarkStart w:id="225" w:name="_Toc256000155"/>
      <w:bookmarkStart w:id="226" w:name="_Toc256000073"/>
      <w:r>
        <w:t>Устойчиво развитие (член 8 от Регламент (ЕС) № 1303/2013)</w:t>
      </w:r>
      <w:bookmarkEnd w:id="224"/>
      <w:bookmarkEnd w:id="225"/>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1000" w:type="pct"/>
            <w:shd w:val="clear" w:color="auto" w:fill="auto"/>
            <w:tcMar>
              <w:top w:w="20" w:type="dxa"/>
              <w:left w:w="20" w:type="dxa"/>
              <w:bottom w:w="20" w:type="dxa"/>
            </w:tcMar>
          </w:tcPr>
          <w:p w:rsidR="002B3815" w:rsidRDefault="0099452B">
            <w:pPr>
              <w:spacing w:before="0" w:after="240"/>
              <w:jc w:val="left"/>
              <w:rPr>
                <w:szCs w:val="24"/>
              </w:rPr>
            </w:pPr>
            <w:r>
              <w:rPr>
                <w:szCs w:val="24"/>
              </w:rPr>
              <w:t xml:space="preserve">Опазването на околната среда като хоризонтална цел е засегнато във всички инструменти за подпомагане, </w:t>
            </w:r>
            <w:r>
              <w:rPr>
                <w:szCs w:val="24"/>
              </w:rPr>
              <w:t>включени в Програмата. В съответствие 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Националните насоки определят об</w:t>
            </w:r>
            <w:r>
              <w:rPr>
                <w:szCs w:val="24"/>
              </w:rPr>
              <w:t>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w:t>
            </w:r>
          </w:p>
          <w:p w:rsidR="002B3815" w:rsidRDefault="0099452B">
            <w:pPr>
              <w:spacing w:before="240" w:after="240"/>
              <w:jc w:val="left"/>
              <w:rPr>
                <w:szCs w:val="24"/>
              </w:rPr>
            </w:pPr>
            <w:r>
              <w:rPr>
                <w:szCs w:val="24"/>
              </w:rPr>
              <w:t xml:space="preserve">В рамките на дискусиите по разработване на критериите за подбор по </w:t>
            </w:r>
            <w:r>
              <w:rPr>
                <w:szCs w:val="24"/>
              </w:rPr>
              <w:t>отделните мерки/подмерки и схеми, включени в ПРСР участие вземат неправителствени екологични организации в сферата на опазване на околната среда и Министерство на околната среда и водите, които съблюдават дали чрез мерките се постига интегрирането на полит</w:t>
            </w:r>
            <w:r>
              <w:rPr>
                <w:szCs w:val="24"/>
              </w:rPr>
              <w:t>иката в областта на околната среда и изменението на климата.</w:t>
            </w:r>
          </w:p>
          <w:p w:rsidR="002B3815" w:rsidRDefault="0099452B">
            <w:pPr>
              <w:spacing w:before="240" w:after="240"/>
              <w:jc w:val="left"/>
              <w:rPr>
                <w:szCs w:val="24"/>
              </w:rPr>
            </w:pPr>
            <w:r>
              <w:rPr>
                <w:szCs w:val="24"/>
              </w:rPr>
              <w:t>От друга страна, 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w:t>
            </w:r>
            <w:r>
              <w:rPr>
                <w:szCs w:val="24"/>
              </w:rPr>
              <w:t xml:space="preserve"> почвите и водите.</w:t>
            </w:r>
          </w:p>
          <w:p w:rsidR="002B3815" w:rsidRDefault="0099452B">
            <w:pPr>
              <w:spacing w:before="240" w:after="240"/>
              <w:jc w:val="left"/>
              <w:rPr>
                <w:szCs w:val="24"/>
              </w:rPr>
            </w:pPr>
            <w:r>
              <w:rPr>
                <w:szCs w:val="24"/>
              </w:rPr>
              <w:t xml:space="preserve">Планирани са също така мерки по всички приоритетни области на Приоритет 4, които допринасят за съхранение на биоразнообразието, устойчиво управление на водите и почвите. В рамките на агроекологичните цели основен приоритет са мерките за </w:t>
            </w:r>
            <w:r>
              <w:rPr>
                <w:szCs w:val="24"/>
              </w:rPr>
              <w:t>опазване на биологичното разнообразие в земеделските земи с висока природна стойност и зоните от Натура 2000. Земеделските производители са насърчавани да поддържат ландшафта и да извършват на земеделска дейност в необлагодетелстваните райони. Всички плани</w:t>
            </w:r>
            <w:r>
              <w:rPr>
                <w:szCs w:val="24"/>
              </w:rPr>
              <w:t>рани мерки по Приоритет 4 имат също така и пряк принос към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w:t>
            </w:r>
            <w:r>
              <w:rPr>
                <w:szCs w:val="24"/>
              </w:rPr>
              <w:t>ст от природните, климатични и почвени условия, които да гарантират доброто състояние на пасищата и ливадите   и поддържането  на постоянна тревна покривка, което от своя страна допринася за съхраняване на запасите от въглерод в почвите. Що се касае за ада</w:t>
            </w:r>
            <w:r>
              <w:rPr>
                <w:szCs w:val="24"/>
              </w:rPr>
              <w:t>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rsidR="002B3815" w:rsidRDefault="0099452B">
            <w:pPr>
              <w:spacing w:before="240" w:after="240"/>
              <w:jc w:val="left"/>
              <w:rPr>
                <w:szCs w:val="24"/>
              </w:rPr>
            </w:pPr>
            <w:r>
              <w:rPr>
                <w:szCs w:val="24"/>
              </w:rPr>
              <w:t>По този начи</w:t>
            </w:r>
            <w:r>
              <w:rPr>
                <w:szCs w:val="24"/>
              </w:rPr>
              <w:t>н през 2018 г. посредством поетите ангажименти по мерки 10, 11, 12 и 13 от страна на българските земеделски стопани в рамките на кампанията се продължава прилагането на практики и действия от ПРСР 2014-2020, които ще доведат до постигане на съществен напре</w:t>
            </w:r>
            <w:r>
              <w:rPr>
                <w:szCs w:val="24"/>
              </w:rPr>
              <w:t>дък на заложените цели в рамките на Приоритет 4 и Приоритет 5, отчитайки интереса, който се проявява от страна на земеделските стопани.</w:t>
            </w:r>
          </w:p>
          <w:p w:rsidR="002B3815" w:rsidRDefault="0099452B">
            <w:pPr>
              <w:spacing w:before="240" w:after="240"/>
              <w:jc w:val="left"/>
              <w:rPr>
                <w:szCs w:val="24"/>
              </w:rPr>
            </w:pPr>
            <w:r>
              <w:rPr>
                <w:szCs w:val="24"/>
              </w:rPr>
              <w:t> В рамките на подмярка 4.1 „Инвестиции в земеделски стопанства” и подмярка 4.2 „Инвестиции в преработка/маркетинг на сел</w:t>
            </w:r>
            <w:r>
              <w:rPr>
                <w:szCs w:val="24"/>
              </w:rPr>
              <w:t>скостопански продукти” от друга страна се предоставя предимство за проекти, които предвиждат инвестиции в опазване на околната среда, включително намаляване на вредните емисии, инвестиции в енергийна ефективност и инвестиции в биологичното производство. По</w:t>
            </w:r>
            <w:r>
              <w:rPr>
                <w:szCs w:val="24"/>
              </w:rPr>
              <w:t xml:space="preserve"> този начин се цели постигане на допълнителен ефект и се гарантира, че хоризонталният приоритет за опазване на околната среда е интегриран в най-популярните мерки, които ангажират значителни средства от Програмата.</w:t>
            </w:r>
          </w:p>
          <w:p w:rsidR="002B3815" w:rsidRDefault="0099452B">
            <w:pPr>
              <w:spacing w:before="240" w:after="240"/>
              <w:jc w:val="left"/>
              <w:rPr>
                <w:szCs w:val="24"/>
              </w:rPr>
            </w:pPr>
            <w:r>
              <w:rPr>
                <w:szCs w:val="24"/>
              </w:rPr>
              <w:t xml:space="preserve">По всички инвестиционни мерки, прилагани </w:t>
            </w:r>
            <w:r>
              <w:rPr>
                <w:szCs w:val="24"/>
              </w:rPr>
              <w:t>по ПРСР, които биха могли да окажат негативно въздействие на околната среда, е заложено задължително изискване за предварителна преценка до колко предвижданите от кандидата инвестиции са в съответствие със Закона за опазване на околната среда и Закона за б</w:t>
            </w:r>
            <w:r>
              <w:rPr>
                <w:szCs w:val="24"/>
              </w:rPr>
              <w:t>иологичното разнообразие. Тази преценка се извършва от компетентния орган  (Министерство на околната среда и водите и неговите областни структури) предварително и се явява основно условие за допустимост на проектите.</w:t>
            </w:r>
          </w:p>
          <w:p w:rsidR="002B3815" w:rsidRDefault="002B3815">
            <w:pPr>
              <w:pStyle w:val="BodyText"/>
            </w:pPr>
          </w:p>
        </w:tc>
      </w:tr>
    </w:tbl>
    <w:p w:rsidR="002B3815" w:rsidRDefault="0099452B">
      <w:pPr>
        <w:pStyle w:val="Heading2"/>
      </w:pPr>
      <w:bookmarkStart w:id="227" w:name="_Toc256000238"/>
      <w:bookmarkStart w:id="228" w:name="_Toc256000156"/>
      <w:bookmarkStart w:id="229" w:name="_Toc256000074"/>
      <w:r>
        <w:t>Ролята на партньорите, посочени в чле</w:t>
      </w:r>
      <w:r>
        <w:t>н 5 от Регламент (ЕС) № 1303/2013, във връзка с изпълнението на програмата</w:t>
      </w:r>
      <w:bookmarkEnd w:id="227"/>
      <w:bookmarkEnd w:id="228"/>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1000" w:type="pct"/>
            <w:shd w:val="clear" w:color="auto" w:fill="auto"/>
            <w:tcMar>
              <w:top w:w="20" w:type="dxa"/>
              <w:left w:w="20" w:type="dxa"/>
              <w:bottom w:w="20" w:type="dxa"/>
            </w:tcMar>
          </w:tcPr>
          <w:p w:rsidR="002B3815" w:rsidRDefault="0099452B">
            <w:pPr>
              <w:spacing w:before="0" w:after="240"/>
              <w:jc w:val="left"/>
              <w:rPr>
                <w:szCs w:val="24"/>
              </w:rPr>
            </w:pPr>
            <w:r>
              <w:rPr>
                <w:szCs w:val="24"/>
              </w:rPr>
              <w:t>Съставът на Комитета по наблюдение (КН) на ПРСР 2014-2020 е определен в съответствие с Регламент 1303/2013 при спазване на правилата за организацията на работа и състава, определени</w:t>
            </w:r>
            <w:r>
              <w:rPr>
                <w:szCs w:val="24"/>
              </w:rPr>
              <w:t xml:space="preserve"> в Постановление на Министерския Съвет относно правилата за работа на Комитети за наблюдение на всички програми от ЕСИФ.</w:t>
            </w:r>
          </w:p>
          <w:p w:rsidR="002B3815" w:rsidRDefault="0099452B">
            <w:pPr>
              <w:spacing w:before="240" w:after="240"/>
              <w:jc w:val="left"/>
              <w:rPr>
                <w:szCs w:val="24"/>
              </w:rPr>
            </w:pPr>
            <w:r>
              <w:rPr>
                <w:szCs w:val="24"/>
              </w:rPr>
              <w:t>Спазвайки приложимото законодателство, в състава на Комитета са включени всички социално- икономически партньори и структури на региона</w:t>
            </w:r>
            <w:r>
              <w:rPr>
                <w:szCs w:val="24"/>
              </w:rPr>
              <w:t>лните и местни органи.</w:t>
            </w:r>
          </w:p>
          <w:p w:rsidR="002B3815" w:rsidRDefault="0099452B">
            <w:pPr>
              <w:spacing w:before="240" w:after="240"/>
              <w:jc w:val="left"/>
              <w:rPr>
                <w:szCs w:val="24"/>
              </w:rPr>
            </w:pPr>
            <w:r>
              <w:rPr>
                <w:szCs w:val="24"/>
              </w:rPr>
              <w:t xml:space="preserve">С цел оптимизиране работата на Комитета и осигуряването на по – висока представителност на заинтересованите страни, по инициатива на УО на ПРСР към членовете с право на глас в Комитета са включени като наблюдатели и представители на </w:t>
            </w:r>
            <w:r>
              <w:rPr>
                <w:szCs w:val="24"/>
              </w:rPr>
              <w:t>браншови организации от различните сектори на селското стопанство.</w:t>
            </w:r>
          </w:p>
          <w:p w:rsidR="002B3815" w:rsidRDefault="0099452B">
            <w:pPr>
              <w:spacing w:before="240" w:after="240"/>
              <w:jc w:val="left"/>
              <w:rPr>
                <w:szCs w:val="24"/>
              </w:rPr>
            </w:pPr>
            <w:r>
              <w:rPr>
                <w:szCs w:val="24"/>
              </w:rPr>
              <w:t>През 2018 г. са проведени две присъствени заседания на Комитета по наблюдение и три писмени процедури. В рамките на заседанията са правени задълбочени и детайлни дискусии между представител</w:t>
            </w:r>
            <w:r>
              <w:rPr>
                <w:szCs w:val="24"/>
              </w:rPr>
              <w:t>и на отделните сектори и участници в Комитета. С провеждането на заседанията е осигурено спазването на принципа на публичност, партньорство и съгласуваност с браншовите организации.</w:t>
            </w:r>
          </w:p>
          <w:p w:rsidR="002B3815" w:rsidRDefault="0099452B">
            <w:pPr>
              <w:spacing w:before="240" w:after="240"/>
              <w:jc w:val="left"/>
              <w:rPr>
                <w:szCs w:val="24"/>
              </w:rPr>
            </w:pPr>
            <w:r>
              <w:rPr>
                <w:szCs w:val="24"/>
              </w:rPr>
              <w:t>В проведените заседания са дискутирани въпроси и са взимани решения свърза</w:t>
            </w:r>
            <w:r>
              <w:rPr>
                <w:szCs w:val="24"/>
              </w:rPr>
              <w:t>ни с компетенциите на Комитета на Програмата, като одобряване на критерии за оценка на проекти, промени в одобрения текст на мерките от ПРСР, подготовка на искания за изменение на ПРСР, обсъждания свързани с напредъка по прилагане и други ключови въпроси с</w:t>
            </w:r>
            <w:r>
              <w:rPr>
                <w:szCs w:val="24"/>
              </w:rPr>
              <w:t>вързани с ПРСР.</w:t>
            </w:r>
          </w:p>
          <w:p w:rsidR="002B3815" w:rsidRDefault="0099452B">
            <w:pPr>
              <w:spacing w:before="240" w:after="240"/>
              <w:jc w:val="left"/>
              <w:rPr>
                <w:szCs w:val="24"/>
              </w:rPr>
            </w:pPr>
            <w:r>
              <w:rPr>
                <w:szCs w:val="24"/>
              </w:rPr>
              <w:t>Управляващият орган е осигурил достъп до всички материали от заседанията на Комитета по наблюдение, като същите се публикуват на интернет сайта на министерство на земеделието и храните, в специална секция предназначена за ПРСР 2014-2020. По</w:t>
            </w:r>
            <w:r>
              <w:rPr>
                <w:szCs w:val="24"/>
              </w:rPr>
              <w:t xml:space="preserve"> този начин е осигурен обществен достъп до информацията и обсъжданията от проведените заседания.</w:t>
            </w:r>
          </w:p>
          <w:p w:rsidR="002B3815" w:rsidRDefault="0099452B">
            <w:pPr>
              <w:spacing w:before="240" w:after="240"/>
              <w:jc w:val="left"/>
              <w:rPr>
                <w:szCs w:val="24"/>
              </w:rPr>
            </w:pPr>
            <w:r>
              <w:rPr>
                <w:szCs w:val="24"/>
              </w:rPr>
              <w:t>Обект на дискусия и вземане на решения са отделните мерки и подмерки, като по част от тях решенията са били свързани с тяхното актуализиране или промяна, а при</w:t>
            </w:r>
            <w:r>
              <w:rPr>
                <w:szCs w:val="24"/>
              </w:rPr>
              <w:t xml:space="preserve"> други обект на обсъждане е било тяхното първоначално стартиране за програмния период 2014-2020. Решенията и дискусиите от проведените заседания са публикувани в специална секция на интернет страницата на министерство на земеделието и храните. Подробна инф</w:t>
            </w:r>
            <w:r>
              <w:rPr>
                <w:szCs w:val="24"/>
              </w:rPr>
              <w:t>ормация за темите по проведените заседания на КН е представена в т.“3а“ от настоящия доклад.</w:t>
            </w:r>
          </w:p>
          <w:p w:rsidR="002B3815" w:rsidRDefault="0099452B">
            <w:pPr>
              <w:spacing w:before="240" w:after="240"/>
              <w:jc w:val="left"/>
              <w:rPr>
                <w:szCs w:val="24"/>
              </w:rPr>
            </w:pPr>
            <w:r>
              <w:rPr>
                <w:szCs w:val="24"/>
              </w:rPr>
              <w:t xml:space="preserve">Въпреки липсата на изричен регламент или законодателство през 2018 г. е продължена въведената вече практика за  участие на партньорите в Тематичните работни групи </w:t>
            </w:r>
            <w:r>
              <w:rPr>
                <w:szCs w:val="24"/>
              </w:rPr>
              <w:t>(ТРГ) за разработване на националното законодателство /наредби за прилагане/насоки за кандидатстване на мерките/подмерките от ПРСР 2014-2020 г.</w:t>
            </w:r>
          </w:p>
          <w:p w:rsidR="002B3815" w:rsidRDefault="0099452B">
            <w:pPr>
              <w:spacing w:before="240" w:after="240"/>
              <w:jc w:val="left"/>
              <w:rPr>
                <w:szCs w:val="24"/>
              </w:rPr>
            </w:pPr>
            <w:r>
              <w:rPr>
                <w:szCs w:val="24"/>
              </w:rPr>
              <w:t>През 2018 г. са проведени работни групи по всички мерки, по които са определени периоди за прием.</w:t>
            </w:r>
          </w:p>
          <w:p w:rsidR="002B3815" w:rsidRDefault="0099452B">
            <w:pPr>
              <w:spacing w:before="240" w:after="240"/>
              <w:jc w:val="left"/>
              <w:rPr>
                <w:szCs w:val="24"/>
              </w:rPr>
            </w:pPr>
            <w:r>
              <w:rPr>
                <w:szCs w:val="24"/>
              </w:rPr>
              <w:t>В рамките на с</w:t>
            </w:r>
            <w:r>
              <w:rPr>
                <w:szCs w:val="24"/>
              </w:rPr>
              <w:t>воите компетенции Управляващият орган чрез свои представители ежемесечно е участвал през 2016 г. в различни форуми, конференции, семинари и др., в рамките, на които се обсъждат въпроси, свързани с прилагането на отделните мерки и подмерки от Програмата.</w:t>
            </w:r>
          </w:p>
          <w:p w:rsidR="002B3815" w:rsidRDefault="002B3815">
            <w:pPr>
              <w:pStyle w:val="BodyText"/>
            </w:pPr>
          </w:p>
        </w:tc>
      </w:tr>
    </w:tbl>
    <w:p w:rsidR="002B3815" w:rsidRDefault="0099452B">
      <w:pPr>
        <w:pStyle w:val="Heading1"/>
      </w:pPr>
      <w:r>
        <w:br w:type="page"/>
      </w:r>
      <w:bookmarkStart w:id="230" w:name="_Toc256000239"/>
      <w:bookmarkStart w:id="231" w:name="_Toc256000157"/>
      <w:bookmarkStart w:id="232" w:name="_Toc256000075"/>
      <w:r>
        <w:t>Напредък в осигуряването на интегриран подход при използването на ЕЗФРСР и на други финансови инструменти на ЕС</w:t>
      </w:r>
      <w:bookmarkEnd w:id="230"/>
      <w:bookmarkEnd w:id="231"/>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2B3815">
        <w:tc>
          <w:tcPr>
            <w:tcW w:w="1000" w:type="pct"/>
            <w:shd w:val="clear" w:color="auto" w:fill="auto"/>
            <w:tcMar>
              <w:top w:w="20" w:type="dxa"/>
              <w:left w:w="20" w:type="dxa"/>
              <w:bottom w:w="20" w:type="dxa"/>
            </w:tcMar>
          </w:tcPr>
          <w:p w:rsidR="002B3815" w:rsidRDefault="0099452B">
            <w:pPr>
              <w:spacing w:before="0" w:after="240"/>
              <w:jc w:val="left"/>
              <w:rPr>
                <w:szCs w:val="24"/>
              </w:rPr>
            </w:pPr>
            <w:r>
              <w:rPr>
                <w:szCs w:val="24"/>
              </w:rPr>
              <w:t>Към 31.12.2018 г., отношение към осигуряването на интегриран подход при използването на ЕЗФРСР и на другите финансови инструменти на ЕС имат ос</w:t>
            </w:r>
            <w:r>
              <w:rPr>
                <w:szCs w:val="24"/>
              </w:rPr>
              <w:t>ъществените приеми и дейности по Мярка 19 – ВОМР. Интервенции по подмерки:</w:t>
            </w:r>
          </w:p>
          <w:p w:rsidR="002B3815" w:rsidRDefault="0099452B">
            <w:pPr>
              <w:spacing w:before="240" w:after="240"/>
              <w:jc w:val="left"/>
              <w:rPr>
                <w:szCs w:val="24"/>
              </w:rPr>
            </w:pPr>
            <w:r>
              <w:rPr>
                <w:szCs w:val="24"/>
              </w:rPr>
              <w:t>Подмярка 19.1 “Помощ за подготвителни дейности”</w:t>
            </w:r>
          </w:p>
          <w:p w:rsidR="002B3815" w:rsidRDefault="0099452B">
            <w:pPr>
              <w:spacing w:before="240" w:after="240"/>
              <w:jc w:val="left"/>
              <w:rPr>
                <w:szCs w:val="24"/>
              </w:rPr>
            </w:pPr>
            <w:r>
              <w:rPr>
                <w:szCs w:val="24"/>
              </w:rPr>
              <w:t>Сключени са 101 договора на обща стойност 2 600 000,00 евро, в които за изпълнение на дейности по подмярката участваха 180 общини, об</w:t>
            </w:r>
            <w:r>
              <w:rPr>
                <w:szCs w:val="24"/>
              </w:rPr>
              <w:t>хващащи население от 2 300 000 жители и територия от 74 433 кв. км, което представлява 78% от територията на селските райони на страната.</w:t>
            </w:r>
          </w:p>
          <w:p w:rsidR="002B3815" w:rsidRDefault="0099452B">
            <w:pPr>
              <w:spacing w:before="240" w:after="240"/>
              <w:jc w:val="left"/>
              <w:rPr>
                <w:szCs w:val="24"/>
              </w:rPr>
            </w:pPr>
            <w:r>
              <w:rPr>
                <w:szCs w:val="24"/>
              </w:rPr>
              <w:t>Чрез изпълнените дейности от бенефициентите са организирани и проведени около 1200 публични събития (конференции, семи</w:t>
            </w:r>
            <w:r>
              <w:rPr>
                <w:szCs w:val="24"/>
              </w:rPr>
              <w:t>нари, срещи, обучения и др.).</w:t>
            </w:r>
          </w:p>
          <w:p w:rsidR="002B3815" w:rsidRDefault="0099452B">
            <w:pPr>
              <w:spacing w:before="240" w:after="240"/>
              <w:jc w:val="left"/>
              <w:rPr>
                <w:szCs w:val="24"/>
              </w:rPr>
            </w:pPr>
            <w:r>
              <w:rPr>
                <w:szCs w:val="24"/>
              </w:rPr>
              <w:t>Обща стойност на изплатените средства по подмярката към края на 2018 г. с натрупване е: 1 986 946,00 евро.</w:t>
            </w:r>
          </w:p>
          <w:p w:rsidR="002B3815" w:rsidRDefault="0099452B">
            <w:pPr>
              <w:spacing w:before="240" w:after="240"/>
              <w:jc w:val="left"/>
              <w:rPr>
                <w:szCs w:val="24"/>
              </w:rPr>
            </w:pPr>
            <w:r>
              <w:rPr>
                <w:szCs w:val="24"/>
              </w:rPr>
              <w:t>Подмярка 19.2 „Прилагане на операции в рамките на стратегии за Водено от общностите местно развитие”</w:t>
            </w:r>
          </w:p>
          <w:p w:rsidR="002B3815" w:rsidRDefault="0099452B">
            <w:pPr>
              <w:spacing w:before="240" w:after="240"/>
              <w:jc w:val="left"/>
              <w:rPr>
                <w:szCs w:val="24"/>
              </w:rPr>
            </w:pPr>
            <w:r>
              <w:rPr>
                <w:szCs w:val="24"/>
              </w:rPr>
              <w:t xml:space="preserve">Подготовка на </w:t>
            </w:r>
            <w:r>
              <w:rPr>
                <w:szCs w:val="24"/>
              </w:rPr>
              <w:t>изпълнението на подмярка 19.2 стратира през 2015 г. с провеждане на два приема на заявления за подпомагане по подмярка 19.1 „Помощ за подготовителни дейности“ в рамките на които постъпват общо 133 заявления. В последствие се пристъпва към одобрение на крит</w:t>
            </w:r>
            <w:r>
              <w:rPr>
                <w:szCs w:val="24"/>
              </w:rPr>
              <w:t>ериите за оценка на проекти по подмярка 19.2 в рамките на заседанието на Комитета по наблюдение на ПРСР, проведено на 21 май 2015 г.</w:t>
            </w:r>
          </w:p>
          <w:p w:rsidR="002B3815" w:rsidRDefault="0099452B">
            <w:pPr>
              <w:spacing w:before="240" w:after="240"/>
              <w:jc w:val="left"/>
              <w:rPr>
                <w:szCs w:val="24"/>
              </w:rPr>
            </w:pPr>
            <w:r>
              <w:rPr>
                <w:szCs w:val="24"/>
              </w:rPr>
              <w:t>Въз основа на одобрените критерии за оценка се финализира работата по изготвяне на Наредба № 22 от 14 декември 2015 г. за п</w:t>
            </w:r>
            <w:r>
              <w:rPr>
                <w:szCs w:val="24"/>
              </w:rPr>
              <w:t>рилагане на подмярка 19.2 „Прилагане на операции в рамките на стратегии за Водено от общностите местно развитие” на мярка 19 „Водено от общностите местно развитие”.</w:t>
            </w:r>
          </w:p>
          <w:p w:rsidR="002B3815" w:rsidRDefault="0099452B">
            <w:pPr>
              <w:spacing w:before="240" w:after="240"/>
              <w:jc w:val="left"/>
              <w:rPr>
                <w:szCs w:val="24"/>
              </w:rPr>
            </w:pPr>
            <w:r>
              <w:rPr>
                <w:szCs w:val="24"/>
              </w:rPr>
              <w:t>В периода на прием на проекти до 31 май 2016 г. в УО на ПРСР са приети общо 53 бр. заявлени</w:t>
            </w:r>
            <w:r>
              <w:rPr>
                <w:szCs w:val="24"/>
              </w:rPr>
              <w:t>я за подбор на МИГ и одобрение на стратегии за ВОМР при условията и реда на Наредба № 22 от 14 декември 2015 г. за прилагане на подмярка 19.2 „Прилагане на операции в рамките на стратегии за Водено от общностите местно развитие” на мярка 19 „Водено от общн</w:t>
            </w:r>
            <w:r>
              <w:rPr>
                <w:szCs w:val="24"/>
              </w:rPr>
              <w:t>остите местно развитие” от Програмата за развитие на селските райони за периода 2014-2020 г. (обн., ДВ, бр.100 от 18 декември 2015 г.).</w:t>
            </w:r>
          </w:p>
          <w:p w:rsidR="002B3815" w:rsidRDefault="0099452B">
            <w:pPr>
              <w:spacing w:before="240" w:after="240"/>
              <w:jc w:val="left"/>
              <w:rPr>
                <w:szCs w:val="24"/>
              </w:rPr>
            </w:pPr>
            <w:r>
              <w:rPr>
                <w:szCs w:val="24"/>
              </w:rPr>
              <w:t>Подадените проектни предложения включват заявен бюджет в размер на 116 054 102 евро за изпълнение на проекти в рамките н</w:t>
            </w:r>
            <w:r>
              <w:rPr>
                <w:szCs w:val="24"/>
              </w:rPr>
              <w:t>а Стратегиите за ВОМР от които:</w:t>
            </w:r>
          </w:p>
          <w:p w:rsidR="002B3815" w:rsidRDefault="0099452B">
            <w:pPr>
              <w:spacing w:before="240" w:after="240"/>
              <w:jc w:val="left"/>
              <w:rPr>
                <w:szCs w:val="24"/>
              </w:rPr>
            </w:pPr>
            <w:r>
              <w:rPr>
                <w:szCs w:val="24"/>
              </w:rPr>
              <w:t> - по ЕЗФРСР (ПРСР) в размер на 74 284 008 евро</w:t>
            </w:r>
          </w:p>
          <w:p w:rsidR="002B3815" w:rsidRDefault="0099452B">
            <w:pPr>
              <w:spacing w:before="240" w:after="240"/>
              <w:jc w:val="left"/>
              <w:rPr>
                <w:szCs w:val="24"/>
              </w:rPr>
            </w:pPr>
            <w:r>
              <w:rPr>
                <w:szCs w:val="24"/>
              </w:rPr>
              <w:t>- по ЕФРР (ОПОС) в размер на 1 702 842 евро</w:t>
            </w:r>
          </w:p>
          <w:p w:rsidR="002B3815" w:rsidRDefault="0099452B">
            <w:pPr>
              <w:spacing w:before="240" w:after="240"/>
              <w:jc w:val="left"/>
              <w:rPr>
                <w:szCs w:val="24"/>
              </w:rPr>
            </w:pPr>
            <w:r>
              <w:rPr>
                <w:szCs w:val="24"/>
              </w:rPr>
              <w:t>- по ЕФРР (ОПИК) в размер на 21 876 193 евро</w:t>
            </w:r>
          </w:p>
          <w:p w:rsidR="002B3815" w:rsidRDefault="0099452B">
            <w:pPr>
              <w:spacing w:before="240" w:after="240"/>
              <w:jc w:val="left"/>
              <w:rPr>
                <w:szCs w:val="24"/>
              </w:rPr>
            </w:pPr>
            <w:r>
              <w:rPr>
                <w:szCs w:val="24"/>
              </w:rPr>
              <w:t>- по ЕСФ (ОПРЧР) в размер на 18 191 059 евро</w:t>
            </w:r>
          </w:p>
          <w:p w:rsidR="002B3815" w:rsidRDefault="0099452B">
            <w:pPr>
              <w:spacing w:before="240" w:after="240"/>
              <w:jc w:val="left"/>
              <w:rPr>
                <w:szCs w:val="24"/>
              </w:rPr>
            </w:pPr>
            <w:r>
              <w:rPr>
                <w:szCs w:val="24"/>
              </w:rPr>
              <w:t>От подадените Стратегии, 23 са еднофондови</w:t>
            </w:r>
            <w:r>
              <w:rPr>
                <w:szCs w:val="24"/>
              </w:rPr>
              <w:t xml:space="preserve"> и съдържат единствено мерки, финансирани чрез ЕЗФРСР. 28 от подадените стратегии включват мерки, предвидени за изпълнение в рамките на ОПРЧР, 24 от подадените стратегии предвиждат прилагане на мерки от ОПИК и 3 от подадените стратегии включват мерки от ОП</w:t>
            </w:r>
            <w:r>
              <w:rPr>
                <w:szCs w:val="24"/>
              </w:rPr>
              <w:t>ОС.</w:t>
            </w:r>
          </w:p>
          <w:p w:rsidR="002B3815" w:rsidRDefault="0099452B">
            <w:pPr>
              <w:spacing w:before="240" w:after="240"/>
              <w:jc w:val="left"/>
              <w:rPr>
                <w:szCs w:val="24"/>
              </w:rPr>
            </w:pPr>
            <w:r>
              <w:rPr>
                <w:szCs w:val="24"/>
              </w:rPr>
              <w:t>След извършения подбор на стратегии за ВОМР от комисия за избор, назначена със заповед на Министъра на земеделието, храните и горите на етап административно съответствие и допустимост са отхвърлени 11 заявления. На етап техническа оценка и след посещен</w:t>
            </w:r>
            <w:r>
              <w:rPr>
                <w:szCs w:val="24"/>
              </w:rPr>
              <w:t>ия на място са отхвърлени други 2 заявления.</w:t>
            </w:r>
          </w:p>
          <w:p w:rsidR="002B3815" w:rsidRDefault="0099452B">
            <w:pPr>
              <w:spacing w:before="240" w:after="240"/>
              <w:jc w:val="left"/>
              <w:rPr>
                <w:szCs w:val="24"/>
              </w:rPr>
            </w:pPr>
            <w:r>
              <w:rPr>
                <w:szCs w:val="24"/>
              </w:rPr>
              <w:t xml:space="preserve">Останалите 40 стратегии за ВОМР, ангажиращи 57 488 222 евро от бюджета на ПРСР, 1 609 057 евро от бюджета на ОПОС (ЕФРР), 15 226 234 евро от бюджета на ОПИК (ЕФРР) и 11 116 957 евро от бюджета на ОПРЧР (ЕСФ) са </w:t>
            </w:r>
            <w:r>
              <w:rPr>
                <w:szCs w:val="24"/>
              </w:rPr>
              <w:t>одобрени за изпълнение към 31 декември 2016 г. Към края на година са сключени общо 37 договора за прилагане на стратегии за СВОМР в рамките на които са договорени 52 988 534 евро от ПРСР.</w:t>
            </w:r>
          </w:p>
          <w:p w:rsidR="002B3815" w:rsidRDefault="0099452B">
            <w:pPr>
              <w:spacing w:before="240" w:after="240"/>
              <w:jc w:val="left"/>
              <w:rPr>
                <w:szCs w:val="24"/>
              </w:rPr>
            </w:pPr>
            <w:r>
              <w:rPr>
                <w:szCs w:val="24"/>
              </w:rPr>
              <w:t>Одобрените стратегии обхващат 74 общини от селските райони на Републ</w:t>
            </w:r>
            <w:r>
              <w:rPr>
                <w:szCs w:val="24"/>
              </w:rPr>
              <w:t>ика България, в рамките на които от помощта ще бъдат облагодетелствани 1 047 819 жители.</w:t>
            </w:r>
          </w:p>
          <w:p w:rsidR="002B3815" w:rsidRDefault="0099452B">
            <w:pPr>
              <w:spacing w:before="240" w:after="240"/>
              <w:jc w:val="left"/>
              <w:rPr>
                <w:szCs w:val="24"/>
              </w:rPr>
            </w:pPr>
            <w:r>
              <w:rPr>
                <w:szCs w:val="24"/>
              </w:rPr>
              <w:t>През 2017 г беше извършен втори прием по подмярка 19.2. Той беше реализиран в периода – 30.06.2017 г. – 31.08.2017 г. Бюджета на приема е следния:</w:t>
            </w:r>
          </w:p>
          <w:p w:rsidR="002B3815" w:rsidRDefault="0099452B" w:rsidP="0099452B">
            <w:pPr>
              <w:numPr>
                <w:ilvl w:val="0"/>
                <w:numId w:val="90"/>
              </w:numPr>
              <w:spacing w:before="240" w:after="0"/>
              <w:ind w:hanging="210"/>
              <w:jc w:val="left"/>
              <w:rPr>
                <w:szCs w:val="24"/>
              </w:rPr>
            </w:pPr>
            <w:r>
              <w:rPr>
                <w:szCs w:val="24"/>
              </w:rPr>
              <w:t>ПРСР – 35 675 676,40</w:t>
            </w:r>
            <w:r>
              <w:rPr>
                <w:szCs w:val="24"/>
              </w:rPr>
              <w:t xml:space="preserve"> евро;</w:t>
            </w:r>
          </w:p>
          <w:p w:rsidR="002B3815" w:rsidRDefault="0099452B" w:rsidP="0099452B">
            <w:pPr>
              <w:numPr>
                <w:ilvl w:val="0"/>
                <w:numId w:val="90"/>
              </w:numPr>
              <w:spacing w:before="0" w:after="0"/>
              <w:ind w:hanging="210"/>
              <w:jc w:val="left"/>
              <w:rPr>
                <w:szCs w:val="24"/>
              </w:rPr>
            </w:pPr>
            <w:r>
              <w:rPr>
                <w:szCs w:val="24"/>
              </w:rPr>
              <w:t>ОПОС – 17 849 876,78 евро;</w:t>
            </w:r>
          </w:p>
          <w:p w:rsidR="002B3815" w:rsidRDefault="0099452B" w:rsidP="0099452B">
            <w:pPr>
              <w:numPr>
                <w:ilvl w:val="0"/>
                <w:numId w:val="90"/>
              </w:numPr>
              <w:spacing w:before="0" w:after="0"/>
              <w:ind w:hanging="210"/>
              <w:jc w:val="left"/>
              <w:rPr>
                <w:szCs w:val="24"/>
              </w:rPr>
            </w:pPr>
            <w:r>
              <w:rPr>
                <w:szCs w:val="24"/>
              </w:rPr>
              <w:t>ОПРЧР – 38 632 334,90 евро;</w:t>
            </w:r>
          </w:p>
          <w:p w:rsidR="002B3815" w:rsidRDefault="0099452B" w:rsidP="0099452B">
            <w:pPr>
              <w:numPr>
                <w:ilvl w:val="0"/>
                <w:numId w:val="90"/>
              </w:numPr>
              <w:spacing w:before="0" w:after="0"/>
              <w:ind w:hanging="210"/>
              <w:jc w:val="left"/>
              <w:rPr>
                <w:szCs w:val="24"/>
              </w:rPr>
            </w:pPr>
            <w:r>
              <w:rPr>
                <w:szCs w:val="24"/>
              </w:rPr>
              <w:t>ОПИК – 47 518 563,50 евро (16 194 233 евро лева по приоритетна ос „Технологично развитие и иновации“ и 31 324 330,50 евро по приоритетна ос „Предприемачество и капацитет за растеж за малки и сре</w:t>
            </w:r>
            <w:r>
              <w:rPr>
                <w:szCs w:val="24"/>
              </w:rPr>
              <w:t>дни предприятия“);</w:t>
            </w:r>
          </w:p>
          <w:p w:rsidR="002B3815" w:rsidRDefault="0099452B" w:rsidP="0099452B">
            <w:pPr>
              <w:numPr>
                <w:ilvl w:val="0"/>
                <w:numId w:val="90"/>
              </w:numPr>
              <w:spacing w:before="0" w:after="0"/>
              <w:ind w:hanging="210"/>
              <w:jc w:val="left"/>
              <w:rPr>
                <w:szCs w:val="24"/>
              </w:rPr>
            </w:pPr>
            <w:r>
              <w:rPr>
                <w:szCs w:val="24"/>
              </w:rPr>
              <w:t>Оперативна програма „Наука и образование за интелигентен растеж“ – 40 903 977,91 евро по операция „Осигуряване на достъп до качествено образование в малките населени места и в труднодостъпните райони“ по инвестиционен приоритет 9.ii „Соц</w:t>
            </w:r>
            <w:r>
              <w:rPr>
                <w:szCs w:val="24"/>
              </w:rPr>
              <w:t>иално-икономическа интеграция на маргинализирани общности, вкл. „роми“ по Приоритетна ос 3 „Образователна среда за активно социално включване“;</w:t>
            </w:r>
          </w:p>
          <w:p w:rsidR="002B3815" w:rsidRDefault="0099452B" w:rsidP="0099452B">
            <w:pPr>
              <w:numPr>
                <w:ilvl w:val="0"/>
                <w:numId w:val="90"/>
              </w:numPr>
              <w:spacing w:before="0" w:after="240"/>
              <w:ind w:hanging="210"/>
              <w:jc w:val="left"/>
              <w:rPr>
                <w:szCs w:val="24"/>
              </w:rPr>
            </w:pPr>
            <w:r>
              <w:rPr>
                <w:szCs w:val="24"/>
              </w:rPr>
              <w:t>Програма за морско дело и рибарство – 300 000 евро.</w:t>
            </w:r>
          </w:p>
          <w:p w:rsidR="002B3815" w:rsidRDefault="0099452B">
            <w:pPr>
              <w:spacing w:before="240" w:after="240"/>
              <w:jc w:val="left"/>
              <w:rPr>
                <w:szCs w:val="24"/>
              </w:rPr>
            </w:pPr>
            <w:r>
              <w:rPr>
                <w:szCs w:val="24"/>
              </w:rPr>
              <w:t>Приемът се проведе в ИСУН. По приема в Управляващия орган на</w:t>
            </w:r>
            <w:r>
              <w:rPr>
                <w:szCs w:val="24"/>
              </w:rPr>
              <w:t xml:space="preserve"> Програмата за развитие на селските райони 2014 – 2020 г. постъпиха общо 70 заявления за финансова подкрепа от МИГ на територията на 120 общини. Общ заявен бюджет за проекти по стратегиите – 212 609 253,27 евро, от които 179 745 759,83 евро за изпълнение н</w:t>
            </w:r>
            <w:r>
              <w:rPr>
                <w:szCs w:val="24"/>
              </w:rPr>
              <w:t>а проекти към стратегиите за ВОМР както следва:</w:t>
            </w:r>
          </w:p>
          <w:p w:rsidR="002B3815" w:rsidRDefault="0099452B" w:rsidP="0099452B">
            <w:pPr>
              <w:numPr>
                <w:ilvl w:val="0"/>
                <w:numId w:val="91"/>
              </w:numPr>
              <w:spacing w:before="240" w:after="0"/>
              <w:ind w:hanging="210"/>
              <w:jc w:val="left"/>
              <w:rPr>
                <w:szCs w:val="24"/>
              </w:rPr>
            </w:pPr>
            <w:r>
              <w:rPr>
                <w:szCs w:val="24"/>
              </w:rPr>
              <w:t>ПРСР 98 590 48, евро;</w:t>
            </w:r>
          </w:p>
          <w:p w:rsidR="002B3815" w:rsidRDefault="0099452B" w:rsidP="0099452B">
            <w:pPr>
              <w:numPr>
                <w:ilvl w:val="0"/>
                <w:numId w:val="91"/>
              </w:numPr>
              <w:spacing w:before="0" w:after="0"/>
              <w:ind w:hanging="210"/>
              <w:jc w:val="left"/>
              <w:rPr>
                <w:szCs w:val="24"/>
              </w:rPr>
            </w:pPr>
            <w:r>
              <w:rPr>
                <w:szCs w:val="24"/>
              </w:rPr>
              <w:t>ОПОС 9 754 123,60 евро;</w:t>
            </w:r>
          </w:p>
          <w:p w:rsidR="002B3815" w:rsidRDefault="0099452B" w:rsidP="0099452B">
            <w:pPr>
              <w:numPr>
                <w:ilvl w:val="0"/>
                <w:numId w:val="91"/>
              </w:numPr>
              <w:spacing w:before="0" w:after="0"/>
              <w:ind w:hanging="210"/>
              <w:jc w:val="left"/>
              <w:rPr>
                <w:szCs w:val="24"/>
              </w:rPr>
            </w:pPr>
            <w:r>
              <w:rPr>
                <w:szCs w:val="24"/>
              </w:rPr>
              <w:t>ОПИК 30 507 119,39 евро;</w:t>
            </w:r>
          </w:p>
          <w:p w:rsidR="002B3815" w:rsidRDefault="0099452B" w:rsidP="0099452B">
            <w:pPr>
              <w:numPr>
                <w:ilvl w:val="0"/>
                <w:numId w:val="91"/>
              </w:numPr>
              <w:spacing w:before="0" w:after="0"/>
              <w:ind w:hanging="210"/>
              <w:jc w:val="left"/>
              <w:rPr>
                <w:szCs w:val="24"/>
              </w:rPr>
            </w:pPr>
            <w:r>
              <w:rPr>
                <w:szCs w:val="24"/>
              </w:rPr>
              <w:t>ОПРЧР 30 897 274,47 евро;</w:t>
            </w:r>
          </w:p>
          <w:p w:rsidR="002B3815" w:rsidRDefault="0099452B" w:rsidP="0099452B">
            <w:pPr>
              <w:numPr>
                <w:ilvl w:val="0"/>
                <w:numId w:val="91"/>
              </w:numPr>
              <w:spacing w:before="0" w:after="240"/>
              <w:ind w:hanging="210"/>
              <w:jc w:val="left"/>
              <w:rPr>
                <w:szCs w:val="24"/>
              </w:rPr>
            </w:pPr>
            <w:r>
              <w:rPr>
                <w:szCs w:val="24"/>
              </w:rPr>
              <w:t>ОПНОИР 9 996 762,09 евро;</w:t>
            </w:r>
          </w:p>
          <w:p w:rsidR="002B3815" w:rsidRDefault="0099452B">
            <w:pPr>
              <w:spacing w:before="240" w:after="240"/>
              <w:jc w:val="left"/>
              <w:rPr>
                <w:szCs w:val="24"/>
              </w:rPr>
            </w:pPr>
            <w:r>
              <w:rPr>
                <w:szCs w:val="24"/>
              </w:rPr>
              <w:t xml:space="preserve">В периода септември – декември 2017 г. е извършена оценка на подадените стратегии за </w:t>
            </w:r>
            <w:r>
              <w:rPr>
                <w:szCs w:val="24"/>
              </w:rPr>
              <w:t>ВОМР, като са одобрени 25 МИГ на територията на 43 общини с територия 22 203 кв. км. и население 619 026 жители.</w:t>
            </w:r>
          </w:p>
          <w:p w:rsidR="002B3815" w:rsidRDefault="0099452B">
            <w:pPr>
              <w:spacing w:before="240" w:after="240"/>
              <w:jc w:val="left"/>
              <w:rPr>
                <w:szCs w:val="24"/>
              </w:rPr>
            </w:pPr>
            <w:r>
              <w:rPr>
                <w:szCs w:val="24"/>
              </w:rPr>
              <w:t>Средствата по одобрените стратегии са в размер на общо 83 921 108,99 евро, разделени по източници на финансиране както следва:</w:t>
            </w:r>
          </w:p>
          <w:p w:rsidR="002B3815" w:rsidRDefault="0099452B" w:rsidP="0099452B">
            <w:pPr>
              <w:numPr>
                <w:ilvl w:val="0"/>
                <w:numId w:val="92"/>
              </w:numPr>
              <w:spacing w:before="240" w:after="0"/>
              <w:ind w:hanging="210"/>
              <w:jc w:val="left"/>
              <w:rPr>
                <w:szCs w:val="24"/>
              </w:rPr>
            </w:pPr>
            <w:r>
              <w:rPr>
                <w:szCs w:val="24"/>
              </w:rPr>
              <w:t>ПРСР 47 325 327,</w:t>
            </w:r>
            <w:r>
              <w:rPr>
                <w:szCs w:val="24"/>
              </w:rPr>
              <w:t>06 евро (35 493 995,29 евро за проекти към стратегиите за ВОМР по подмярка 19.2 и 11 831 331,76 евро за управление на МИГ и популяризиране на стратегиите за ВОМР по подмярка 19.4 „Текущи разходи и популяризиране на стратегии за ВОМР);</w:t>
            </w:r>
          </w:p>
          <w:p w:rsidR="002B3815" w:rsidRDefault="0099452B" w:rsidP="0099452B">
            <w:pPr>
              <w:numPr>
                <w:ilvl w:val="0"/>
                <w:numId w:val="92"/>
              </w:numPr>
              <w:spacing w:before="0" w:after="0"/>
              <w:ind w:hanging="210"/>
              <w:jc w:val="left"/>
              <w:rPr>
                <w:szCs w:val="24"/>
              </w:rPr>
            </w:pPr>
            <w:r>
              <w:rPr>
                <w:szCs w:val="24"/>
              </w:rPr>
              <w:t xml:space="preserve">ОПОС 5 279 892,98 </w:t>
            </w:r>
            <w:r>
              <w:rPr>
                <w:szCs w:val="24"/>
              </w:rPr>
              <w:t>евро;</w:t>
            </w:r>
          </w:p>
          <w:p w:rsidR="002B3815" w:rsidRDefault="0099452B" w:rsidP="0099452B">
            <w:pPr>
              <w:numPr>
                <w:ilvl w:val="0"/>
                <w:numId w:val="92"/>
              </w:numPr>
              <w:spacing w:before="0" w:after="0"/>
              <w:ind w:hanging="210"/>
              <w:jc w:val="left"/>
              <w:rPr>
                <w:szCs w:val="24"/>
              </w:rPr>
            </w:pPr>
            <w:r>
              <w:rPr>
                <w:szCs w:val="24"/>
              </w:rPr>
              <w:t>ОПИК 14 067 191,94 евро;</w:t>
            </w:r>
          </w:p>
          <w:p w:rsidR="002B3815" w:rsidRDefault="0099452B" w:rsidP="0099452B">
            <w:pPr>
              <w:numPr>
                <w:ilvl w:val="0"/>
                <w:numId w:val="92"/>
              </w:numPr>
              <w:spacing w:before="0" w:after="0"/>
              <w:ind w:hanging="210"/>
              <w:jc w:val="left"/>
              <w:rPr>
                <w:szCs w:val="24"/>
              </w:rPr>
            </w:pPr>
            <w:r>
              <w:rPr>
                <w:szCs w:val="24"/>
              </w:rPr>
              <w:t>ОПРЧР 12 057 135.19 евро;</w:t>
            </w:r>
          </w:p>
          <w:p w:rsidR="002B3815" w:rsidRDefault="0099452B" w:rsidP="0099452B">
            <w:pPr>
              <w:numPr>
                <w:ilvl w:val="0"/>
                <w:numId w:val="92"/>
              </w:numPr>
              <w:spacing w:before="0" w:after="240"/>
              <w:ind w:hanging="210"/>
              <w:jc w:val="left"/>
              <w:rPr>
                <w:szCs w:val="24"/>
              </w:rPr>
            </w:pPr>
            <w:r>
              <w:rPr>
                <w:szCs w:val="24"/>
              </w:rPr>
              <w:t>ОПНОИР 5 191 550,66 евро.</w:t>
            </w:r>
          </w:p>
          <w:p w:rsidR="002B3815" w:rsidRDefault="0099452B">
            <w:pPr>
              <w:spacing w:before="240" w:after="240"/>
              <w:jc w:val="left"/>
              <w:rPr>
                <w:szCs w:val="24"/>
              </w:rPr>
            </w:pPr>
            <w:r>
              <w:rPr>
                <w:szCs w:val="24"/>
              </w:rPr>
              <w:t>Към 31.12.2017 г. между УО на ПРСР 2014-2020 г. са подписани общо 24 споразумения за изпълнение на стратегии за ВОМР по обявената втора процедура за подбор на стратегии и ме</w:t>
            </w:r>
            <w:r>
              <w:rPr>
                <w:szCs w:val="24"/>
              </w:rPr>
              <w:t>стни инициативни групи BG06RDNP001-19.001 – подмярка 19.2 „Прилагане на операции в рамките на стратегии за водено от общностите местно развитие“ от ПРСР 2014-2020 г. на обща стойност от 68 329 144,01 евро, от които финансирането от ЕЗФРСР възлиза на 33 993</w:t>
            </w:r>
            <w:r>
              <w:rPr>
                <w:szCs w:val="24"/>
              </w:rPr>
              <w:t xml:space="preserve"> 905,82 евро.</w:t>
            </w:r>
          </w:p>
          <w:p w:rsidR="002B3815" w:rsidRDefault="0099452B">
            <w:pPr>
              <w:spacing w:before="240" w:after="240"/>
              <w:jc w:val="left"/>
              <w:rPr>
                <w:szCs w:val="24"/>
              </w:rPr>
            </w:pPr>
            <w:r>
              <w:rPr>
                <w:szCs w:val="24"/>
              </w:rPr>
              <w:t>Към 31.12.2018 г. общия брой подписани споразумения за финансиране са 64 с финансиране в размер на 186 407 360.49 евро</w:t>
            </w:r>
          </w:p>
          <w:p w:rsidR="002B3815" w:rsidRDefault="0099452B">
            <w:pPr>
              <w:spacing w:before="240" w:after="240"/>
              <w:jc w:val="left"/>
              <w:rPr>
                <w:szCs w:val="24"/>
              </w:rPr>
            </w:pPr>
            <w:r>
              <w:rPr>
                <w:szCs w:val="24"/>
              </w:rPr>
              <w:t> </w:t>
            </w:r>
          </w:p>
          <w:p w:rsidR="002B3815" w:rsidRDefault="0099452B">
            <w:pPr>
              <w:spacing w:before="240" w:after="240"/>
              <w:jc w:val="left"/>
              <w:rPr>
                <w:szCs w:val="24"/>
              </w:rPr>
            </w:pPr>
            <w:r>
              <w:rPr>
                <w:szCs w:val="24"/>
              </w:rPr>
              <w:t>Подмярка 19.3 „Подготовка и изпълнение на дейности за сътрудничество на МИГ“</w:t>
            </w:r>
          </w:p>
          <w:p w:rsidR="002B3815" w:rsidRDefault="0099452B">
            <w:pPr>
              <w:spacing w:before="240" w:after="240"/>
              <w:jc w:val="left"/>
              <w:rPr>
                <w:szCs w:val="24"/>
              </w:rPr>
            </w:pPr>
            <w:r>
              <w:rPr>
                <w:szCs w:val="24"/>
              </w:rPr>
              <w:t>Бюджетът по подмярката е левовата равностойн</w:t>
            </w:r>
            <w:r>
              <w:rPr>
                <w:szCs w:val="24"/>
              </w:rPr>
              <w:t>ост на 6 500 000 евро.</w:t>
            </w:r>
          </w:p>
          <w:p w:rsidR="002B3815" w:rsidRDefault="0099452B">
            <w:pPr>
              <w:spacing w:before="240" w:after="240"/>
              <w:jc w:val="left"/>
              <w:rPr>
                <w:szCs w:val="24"/>
              </w:rPr>
            </w:pPr>
            <w:r>
              <w:rPr>
                <w:szCs w:val="24"/>
              </w:rPr>
              <w:t>През месец август 2018 г. по подмярката е открит прием за проектни предложения. Приемът е разделен в две процедури – BG06RDNP001-19.085 „Подбор на проектни предложения за подготвителни дейности за подготовка на проекти за сътрудничес</w:t>
            </w:r>
            <w:r>
              <w:rPr>
                <w:szCs w:val="24"/>
              </w:rPr>
              <w:t>тво“ с бюджет 204516,75 евро и BG06RDNP001-19.083 „Подбор на проектни предложения за изпълнение на проекти за сътрудничество“ с бюджет 818 067,01 евро. Съгласно Регламент (ЕС) 1305/2013 кандидатстването по подмярката е текущо.</w:t>
            </w:r>
          </w:p>
          <w:p w:rsidR="002B3815" w:rsidRDefault="0099452B">
            <w:pPr>
              <w:spacing w:before="240" w:after="240"/>
              <w:jc w:val="left"/>
              <w:rPr>
                <w:szCs w:val="24"/>
              </w:rPr>
            </w:pPr>
            <w:r>
              <w:rPr>
                <w:szCs w:val="24"/>
              </w:rPr>
              <w:t>В рамките на първия краен сро</w:t>
            </w:r>
            <w:r>
              <w:rPr>
                <w:szCs w:val="24"/>
              </w:rPr>
              <w:t>к за прием на проектни предложения, който приключи на 31.08.2018 г., в ИСУН 2020 бяха регистрирани общо 10 (десет) проектни предложения – 8 (осем) проектни предложения за подготвителни дейности и 2 (два) броя проектни предложения за сътрудничество, които в</w:t>
            </w:r>
            <w:r>
              <w:rPr>
                <w:szCs w:val="24"/>
              </w:rPr>
              <w:t>последствие са оттеглени.</w:t>
            </w:r>
          </w:p>
          <w:p w:rsidR="002B3815" w:rsidRDefault="0099452B">
            <w:pPr>
              <w:spacing w:before="240" w:after="240"/>
              <w:jc w:val="left"/>
              <w:rPr>
                <w:szCs w:val="24"/>
              </w:rPr>
            </w:pPr>
            <w:r>
              <w:rPr>
                <w:szCs w:val="24"/>
              </w:rPr>
              <w:t>В резултат на оценката на Комисията бяха одобрени за финансиране осем проектни предложения с общ размер на одобрената безвъзмездна финансова помощ 175 932,46 евро</w:t>
            </w:r>
          </w:p>
          <w:p w:rsidR="002B3815" w:rsidRDefault="0099452B">
            <w:pPr>
              <w:spacing w:before="240" w:after="240"/>
              <w:jc w:val="left"/>
              <w:rPr>
                <w:szCs w:val="24"/>
              </w:rPr>
            </w:pPr>
            <w:r>
              <w:rPr>
                <w:szCs w:val="24"/>
              </w:rPr>
              <w:t>Подмярка 19.4 „Текущи разходи и популяризиране на стратегия за воде</w:t>
            </w:r>
            <w:r>
              <w:rPr>
                <w:szCs w:val="24"/>
              </w:rPr>
              <w:t>но от общностите местно развитие“</w:t>
            </w:r>
          </w:p>
          <w:p w:rsidR="002B3815" w:rsidRDefault="0099452B">
            <w:pPr>
              <w:spacing w:before="240" w:after="240"/>
              <w:jc w:val="left"/>
              <w:rPr>
                <w:szCs w:val="24"/>
              </w:rPr>
            </w:pPr>
            <w:r>
              <w:rPr>
                <w:szCs w:val="24"/>
              </w:rPr>
              <w:t>Общият финансов ресурс, за одобрените по първия прием на подмярка 19.2 местни инициативни групи  до края на програмния период, е 9,61 млн. евро.</w:t>
            </w:r>
          </w:p>
          <w:p w:rsidR="002B3815" w:rsidRDefault="0099452B">
            <w:pPr>
              <w:spacing w:before="240" w:after="240"/>
              <w:jc w:val="left"/>
              <w:rPr>
                <w:szCs w:val="24"/>
              </w:rPr>
            </w:pPr>
            <w:r>
              <w:rPr>
                <w:szCs w:val="24"/>
              </w:rPr>
              <w:t>Одобрените бюджетите за 2018 г. по подмярка 19.4 „Текущи разходи и популяризи</w:t>
            </w:r>
            <w:r>
              <w:rPr>
                <w:szCs w:val="24"/>
              </w:rPr>
              <w:t>ране на стратегия за Водено от общностите местно развитие“ за всичките 39 местни инициативни групи, одобрени в рамките на първия прием на заявления в размер на 3 702 284,28 евро.</w:t>
            </w:r>
          </w:p>
          <w:p w:rsidR="002B3815" w:rsidRDefault="0099452B">
            <w:pPr>
              <w:spacing w:before="240" w:after="240"/>
              <w:jc w:val="left"/>
              <w:rPr>
                <w:szCs w:val="24"/>
              </w:rPr>
            </w:pPr>
            <w:r>
              <w:rPr>
                <w:szCs w:val="24"/>
              </w:rPr>
              <w:t>По подмярката Разплащателната агенция е изплатила авансовите плащания за 2018</w:t>
            </w:r>
            <w:r>
              <w:rPr>
                <w:szCs w:val="24"/>
              </w:rPr>
              <w:t xml:space="preserve"> г. и извършва регулярно изплащане на извършените от местните инициативни групи разходи. Към 31.12.2018 г. по подмярката на МИГ от страна на Разплащателна агенция са възстановени средства в размер на 2 746 861,01 евро.</w:t>
            </w:r>
          </w:p>
          <w:p w:rsidR="002B3815" w:rsidRDefault="0099452B">
            <w:pPr>
              <w:spacing w:before="240" w:after="240"/>
              <w:jc w:val="left"/>
              <w:rPr>
                <w:szCs w:val="24"/>
              </w:rPr>
            </w:pPr>
            <w:r>
              <w:rPr>
                <w:szCs w:val="24"/>
              </w:rPr>
              <w:t>Към 31.12.2018 г. има проведени редиц</w:t>
            </w:r>
            <w:r>
              <w:rPr>
                <w:szCs w:val="24"/>
              </w:rPr>
              <w:t>а приеми по подмерките от одобрените стратегии за водено от общностите местно развитие. По по – по голяма част от тези приеми е оценката на проектните предложения на ниво оценка в МИГ. Предстои потвърждение на направените оценки от ДФ „Земеделие”. След реа</w:t>
            </w:r>
            <w:r>
              <w:rPr>
                <w:szCs w:val="24"/>
              </w:rPr>
              <w:t>лно реализиране на инвестиционните предложения, ще може да се прецени и конкретния им принос към осигуряването на тегриран подход при използването на ЕЗФРСР и на другите финансови инструменти на ЕС.</w:t>
            </w:r>
          </w:p>
          <w:p w:rsidR="002B3815" w:rsidRDefault="0099452B">
            <w:pPr>
              <w:spacing w:before="240" w:after="240"/>
              <w:jc w:val="left"/>
              <w:rPr>
                <w:szCs w:val="24"/>
              </w:rPr>
            </w:pPr>
            <w:r>
              <w:rPr>
                <w:szCs w:val="24"/>
              </w:rPr>
              <w:t> </w:t>
            </w:r>
          </w:p>
          <w:p w:rsidR="002B3815" w:rsidRDefault="002B3815">
            <w:pPr>
              <w:pStyle w:val="BodyText"/>
            </w:pPr>
          </w:p>
        </w:tc>
      </w:tr>
    </w:tbl>
    <w:p w:rsidR="002B3815" w:rsidRDefault="002B3815">
      <w:pPr>
        <w:sectPr w:rsidR="002B3815">
          <w:pgSz w:w="12240" w:h="15840"/>
          <w:pgMar w:top="900" w:right="900" w:bottom="900" w:left="900" w:header="720" w:footer="720" w:gutter="0"/>
          <w:cols w:space="720"/>
        </w:sectPr>
      </w:pPr>
    </w:p>
    <w:p w:rsidR="002B3815" w:rsidRDefault="0099452B">
      <w:pPr>
        <w:pStyle w:val="Heading1"/>
      </w:pPr>
      <w:bookmarkStart w:id="233" w:name="_Toc256000240"/>
      <w:bookmarkStart w:id="234" w:name="_Toc256000158"/>
      <w:bookmarkStart w:id="235" w:name="_Toc256000076"/>
      <w:r>
        <w:t xml:space="preserve">Доклад за изпълнението на финансовите </w:t>
      </w:r>
      <w:r>
        <w:t>инструменти (член 46 от Регламент (ЕС) № 1303/2013)</w:t>
      </w:r>
      <w:bookmarkEnd w:id="233"/>
      <w:bookmarkEnd w:id="234"/>
      <w:bookmarkEnd w:id="2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3593"/>
      </w:tblGrid>
      <w:tr w:rsidR="002B3815">
        <w:tc>
          <w:tcPr>
            <w:tcW w:w="3300" w:type="pct"/>
            <w:shd w:val="clear" w:color="auto" w:fill="auto"/>
            <w:tcMar>
              <w:top w:w="20" w:type="dxa"/>
              <w:left w:w="20" w:type="dxa"/>
              <w:bottom w:w="20" w:type="dxa"/>
            </w:tcMar>
          </w:tcPr>
          <w:p w:rsidR="002B3815" w:rsidRDefault="0099452B">
            <w:pPr>
              <w:spacing w:before="20" w:after="20"/>
              <w:jc w:val="left"/>
            </w:pPr>
            <w:r>
              <w:t>30A. Започнала ли е предварителната оценка?</w:t>
            </w:r>
          </w:p>
        </w:tc>
        <w:tc>
          <w:tcPr>
            <w:tcW w:w="0" w:type="auto"/>
            <w:shd w:val="clear" w:color="auto" w:fill="auto"/>
            <w:tcMar>
              <w:top w:w="20" w:type="dxa"/>
              <w:left w:w="20" w:type="dxa"/>
              <w:bottom w:w="20" w:type="dxa"/>
            </w:tcMar>
          </w:tcPr>
          <w:p w:rsidR="002B3815" w:rsidRDefault="0099452B">
            <w:pPr>
              <w:spacing w:before="20" w:after="20"/>
              <w:jc w:val="left"/>
            </w:pPr>
            <w:r>
              <w:t>Да</w:t>
            </w:r>
          </w:p>
        </w:tc>
      </w:tr>
      <w:tr w:rsidR="002B3815">
        <w:tc>
          <w:tcPr>
            <w:tcW w:w="3300" w:type="pct"/>
            <w:shd w:val="clear" w:color="auto" w:fill="auto"/>
            <w:tcMar>
              <w:top w:w="20" w:type="dxa"/>
              <w:left w:w="20" w:type="dxa"/>
              <w:bottom w:w="20" w:type="dxa"/>
            </w:tcMar>
          </w:tcPr>
          <w:p w:rsidR="002B3815" w:rsidRDefault="0099452B">
            <w:pPr>
              <w:spacing w:before="20" w:after="20"/>
              <w:jc w:val="left"/>
            </w:pPr>
            <w:r>
              <w:t>30Б. Завършена ли е предварителната оценка?</w:t>
            </w:r>
          </w:p>
        </w:tc>
        <w:tc>
          <w:tcPr>
            <w:tcW w:w="0" w:type="auto"/>
            <w:shd w:val="clear" w:color="auto" w:fill="auto"/>
            <w:tcMar>
              <w:top w:w="20" w:type="dxa"/>
              <w:left w:w="20" w:type="dxa"/>
              <w:bottom w:w="20" w:type="dxa"/>
            </w:tcMar>
          </w:tcPr>
          <w:p w:rsidR="002B3815" w:rsidRDefault="0099452B">
            <w:pPr>
              <w:spacing w:before="20" w:after="20"/>
              <w:jc w:val="left"/>
            </w:pPr>
            <w:r>
              <w:t>Не</w:t>
            </w:r>
          </w:p>
        </w:tc>
      </w:tr>
      <w:tr w:rsidR="002B3815">
        <w:tc>
          <w:tcPr>
            <w:tcW w:w="3300" w:type="pct"/>
            <w:shd w:val="clear" w:color="auto" w:fill="auto"/>
            <w:tcMar>
              <w:top w:w="20" w:type="dxa"/>
              <w:left w:w="20" w:type="dxa"/>
              <w:bottom w:w="20" w:type="dxa"/>
            </w:tcMar>
          </w:tcPr>
          <w:p w:rsidR="002B3815" w:rsidRDefault="0099452B">
            <w:pPr>
              <w:spacing w:before="20" w:after="20"/>
              <w:jc w:val="left"/>
            </w:pPr>
            <w:r>
              <w:t>30. Дата на завършване на предварителната оценка</w:t>
            </w:r>
          </w:p>
        </w:tc>
        <w:tc>
          <w:tcPr>
            <w:tcW w:w="0" w:type="auto"/>
            <w:shd w:val="clear" w:color="auto" w:fill="auto"/>
            <w:tcMar>
              <w:top w:w="20" w:type="dxa"/>
              <w:left w:w="20" w:type="dxa"/>
              <w:bottom w:w="20" w:type="dxa"/>
            </w:tcMar>
          </w:tcPr>
          <w:p w:rsidR="002B3815" w:rsidRDefault="0099452B">
            <w:pPr>
              <w:spacing w:before="20" w:after="20"/>
              <w:jc w:val="left"/>
            </w:pPr>
            <w:r>
              <w:t xml:space="preserve"> - </w:t>
            </w:r>
          </w:p>
        </w:tc>
      </w:tr>
      <w:tr w:rsidR="002B3815">
        <w:tc>
          <w:tcPr>
            <w:tcW w:w="3300" w:type="pct"/>
            <w:shd w:val="clear" w:color="auto" w:fill="auto"/>
            <w:tcMar>
              <w:top w:w="20" w:type="dxa"/>
              <w:left w:w="20" w:type="dxa"/>
              <w:bottom w:w="20" w:type="dxa"/>
            </w:tcMar>
          </w:tcPr>
          <w:p w:rsidR="002B3815" w:rsidRDefault="0099452B">
            <w:pPr>
              <w:spacing w:before="20" w:after="20"/>
              <w:jc w:val="left"/>
            </w:pPr>
            <w:r>
              <w:t xml:space="preserve">31.1. Вече започнал ли е процес на избор или </w:t>
            </w:r>
            <w:r>
              <w:t>определяне?</w:t>
            </w:r>
          </w:p>
        </w:tc>
        <w:tc>
          <w:tcPr>
            <w:tcW w:w="0" w:type="auto"/>
            <w:shd w:val="clear" w:color="auto" w:fill="auto"/>
            <w:tcMar>
              <w:top w:w="20" w:type="dxa"/>
              <w:left w:w="20" w:type="dxa"/>
              <w:bottom w:w="20" w:type="dxa"/>
            </w:tcMar>
          </w:tcPr>
          <w:p w:rsidR="002B3815" w:rsidRDefault="0099452B">
            <w:pPr>
              <w:spacing w:before="20" w:after="20"/>
              <w:jc w:val="left"/>
            </w:pPr>
            <w:r>
              <w:t>Не</w:t>
            </w:r>
          </w:p>
        </w:tc>
      </w:tr>
      <w:tr w:rsidR="002B3815">
        <w:tc>
          <w:tcPr>
            <w:tcW w:w="3300" w:type="pct"/>
            <w:shd w:val="clear" w:color="auto" w:fill="auto"/>
            <w:tcMar>
              <w:top w:w="20" w:type="dxa"/>
              <w:left w:w="20" w:type="dxa"/>
              <w:bottom w:w="20" w:type="dxa"/>
            </w:tcMar>
          </w:tcPr>
          <w:p w:rsidR="002B3815" w:rsidRDefault="0099452B">
            <w:pPr>
              <w:spacing w:before="20" w:after="20"/>
              <w:jc w:val="left"/>
            </w:pPr>
            <w:r>
              <w:t>13A. Споразумението за финансиране подписано ли е?</w:t>
            </w:r>
          </w:p>
        </w:tc>
        <w:tc>
          <w:tcPr>
            <w:tcW w:w="0" w:type="auto"/>
            <w:shd w:val="clear" w:color="auto" w:fill="auto"/>
            <w:tcMar>
              <w:top w:w="20" w:type="dxa"/>
              <w:left w:w="20" w:type="dxa"/>
              <w:bottom w:w="20" w:type="dxa"/>
            </w:tcMar>
          </w:tcPr>
          <w:p w:rsidR="002B3815" w:rsidRDefault="0099452B">
            <w:pPr>
              <w:spacing w:before="20" w:after="20"/>
              <w:jc w:val="left"/>
            </w:pPr>
            <w:r>
              <w:t>Не</w:t>
            </w:r>
          </w:p>
        </w:tc>
      </w:tr>
      <w:tr w:rsidR="002B3815">
        <w:tc>
          <w:tcPr>
            <w:tcW w:w="3300" w:type="pct"/>
            <w:shd w:val="clear" w:color="auto" w:fill="auto"/>
            <w:tcMar>
              <w:top w:w="20" w:type="dxa"/>
              <w:left w:w="20" w:type="dxa"/>
              <w:bottom w:w="20" w:type="dxa"/>
            </w:tcMar>
          </w:tcPr>
          <w:p w:rsidR="002B3815" w:rsidRDefault="0099452B">
            <w:pPr>
              <w:spacing w:before="20" w:after="20"/>
              <w:jc w:val="left"/>
            </w:pPr>
            <w:r>
              <w:t>13. Дата на подписване на споразумението за финансиране с органа, изпълняващ финансовия инструмент</w:t>
            </w:r>
          </w:p>
        </w:tc>
        <w:tc>
          <w:tcPr>
            <w:tcW w:w="0" w:type="auto"/>
            <w:shd w:val="clear" w:color="auto" w:fill="auto"/>
            <w:tcMar>
              <w:top w:w="20" w:type="dxa"/>
              <w:left w:w="20" w:type="dxa"/>
              <w:bottom w:w="20" w:type="dxa"/>
            </w:tcMar>
          </w:tcPr>
          <w:p w:rsidR="002B3815" w:rsidRDefault="0099452B">
            <w:pPr>
              <w:spacing w:before="20" w:after="20"/>
              <w:jc w:val="left"/>
            </w:pPr>
            <w:r>
              <w:t xml:space="preserve"> - </w:t>
            </w:r>
          </w:p>
        </w:tc>
      </w:tr>
    </w:tbl>
    <w:p w:rsidR="002B3815" w:rsidRDefault="002B3815">
      <w:pPr>
        <w:rPr>
          <w:sz w:val="28"/>
        </w:rPr>
        <w:sectPr w:rsidR="002B3815">
          <w:pgSz w:w="12240" w:h="15840"/>
          <w:pgMar w:top="900" w:right="900" w:bottom="900" w:left="900" w:header="720" w:footer="720" w:gutter="0"/>
          <w:cols w:space="720"/>
        </w:sectPr>
      </w:pPr>
    </w:p>
    <w:p w:rsidR="002B3815" w:rsidRDefault="0099452B">
      <w:pPr>
        <w:pStyle w:val="Heading1"/>
      </w:pPr>
      <w:bookmarkStart w:id="236" w:name="_Toc256000241"/>
      <w:bookmarkStart w:id="237" w:name="_Toc256000159"/>
      <w:bookmarkStart w:id="238" w:name="_Toc256000077"/>
      <w:r>
        <w:t xml:space="preserve">Кодиращи таблици за общи и специфични за програмата показатели и </w:t>
      </w:r>
      <w:r>
        <w:t>количествени целеви стойности</w:t>
      </w:r>
      <w:bookmarkEnd w:id="236"/>
      <w:bookmarkEnd w:id="237"/>
      <w:bookmarkEnd w:id="238"/>
    </w:p>
    <w:p w:rsidR="002B3815" w:rsidRDefault="0099452B">
      <w:r>
        <w:t>Към приложението за мониторинг</w:t>
      </w:r>
    </w:p>
    <w:p w:rsidR="002B3815" w:rsidRDefault="0099452B">
      <w:pPr>
        <w:pStyle w:val="Subtitle"/>
      </w:pPr>
      <w:r>
        <w:br w:type="page"/>
      </w:r>
      <w:bookmarkStart w:id="239" w:name="_Toc256000242"/>
      <w:bookmarkStart w:id="240" w:name="_Toc256000160"/>
      <w:bookmarkStart w:id="241" w:name="_Toc256000078"/>
      <w:r>
        <w:t>Приложение II</w:t>
      </w:r>
      <w:bookmarkEnd w:id="239"/>
      <w:bookmarkEnd w:id="240"/>
      <w:bookmarkEnd w:id="241"/>
    </w:p>
    <w:p w:rsidR="002B3815" w:rsidRDefault="0099452B">
      <w:r>
        <w:t>Подробна таблица, представяща нивото на изпълнение за области с поставен акцент, включително показатели за изпълнение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2B3815">
        <w:tc>
          <w:tcPr>
            <w:tcW w:w="0" w:type="auto"/>
            <w:gridSpan w:val="8"/>
            <w:shd w:val="clear" w:color="auto" w:fill="808080"/>
            <w:tcMar>
              <w:top w:w="20" w:type="dxa"/>
              <w:left w:w="20" w:type="dxa"/>
              <w:bottom w:w="20" w:type="dxa"/>
            </w:tcMar>
          </w:tcPr>
          <w:p w:rsidR="002B3815" w:rsidRDefault="0099452B">
            <w:pPr>
              <w:keepNext/>
              <w:spacing w:before="60" w:after="60"/>
              <w:jc w:val="center"/>
              <w:rPr>
                <w:b/>
                <w:sz w:val="20"/>
              </w:rPr>
            </w:pPr>
            <w:r>
              <w:rPr>
                <w:b/>
                <w:sz w:val="20"/>
              </w:rPr>
              <w:t>Акцентирана област 1A</w:t>
            </w:r>
          </w:p>
        </w:tc>
      </w:tr>
      <w:tr w:rsidR="002B3815">
        <w:tc>
          <w:tcPr>
            <w:tcW w:w="200" w:type="pct"/>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1A</w:t>
            </w:r>
          </w:p>
        </w:tc>
        <w:tc>
          <w:tcPr>
            <w:tcW w:w="1050" w:type="pct"/>
            <w:vMerge w:val="restart"/>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T1: процент на 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0,18</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6,75</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2,67</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0,11</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4,12</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1B</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Цел за </w:t>
            </w:r>
            <w:r>
              <w:rPr>
                <w:sz w:val="16"/>
              </w:rPr>
              <w:t>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1B</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470,00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1C</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1C</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T3: общ брой на участниците в обучения съгласно </w:t>
            </w:r>
            <w:r>
              <w:rPr>
                <w:sz w:val="16"/>
              </w:rPr>
              <w:t>член 14 от Регламент (ЕС) № 1305/2013 (област с поставен акцент 1В)</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4 800,00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2A</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Въз основа на одобреното (ако е </w:t>
            </w:r>
            <w:r>
              <w:rPr>
                <w:sz w:val="16"/>
              </w:rPr>
              <w:t>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2A</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0,31</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32,81</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0,31</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32,81</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0,94</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0,30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31,76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0,11</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11,64</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0,16</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16,94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0,04</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4,23</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2A</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333 654 045,00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131,84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119 434 251,00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47,19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253 067 467,60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929 216,00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6,35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929 215,00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6,35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14 625 000,00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4 244,00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52,85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8 030,00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301 402 617,00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182,98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85 649 661,00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52,00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164 719 395,70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239 255 663,30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85 649 661,00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52,00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164 719 395,70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579,00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16,54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3 500,00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29 965 859,90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31 322 212,00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51,39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32 855 375,00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53,91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60 945 294,10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60 945 294,10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5 495,00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135,34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4 060,00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7 777 777,80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2B</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Наименование на целевия </w:t>
            </w:r>
            <w:r>
              <w:rPr>
                <w:sz w:val="16"/>
              </w:rPr>
              <w:t>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2B</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T5: процент на земеделските стопанства, разполагащи с бизнес план за развитие/инвестиции за млади земеделски стопани, подпомагани по ПРСР</w:t>
            </w:r>
            <w:r>
              <w:rPr>
                <w:sz w:val="16"/>
              </w:rPr>
              <w:t xml:space="preserve"> (област с поставен акцент 2Б)</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0,73</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88,38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0,73</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88,38</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0,83</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0,74</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89,60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0,74</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89,60</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0,42</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50,85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0,01</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1,21</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2B</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125 439 644,00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124,36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76 281 589,00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75,63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100 864 735,10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975 710,00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72,18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943 448,00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69,80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1 351 714,00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1 269,00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141,00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89 613 934,00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426,73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29 884 464,00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142,31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21 000 000,00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35 000 000,00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27,33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34 850 000,00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45,55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45 453 677,00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59,41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76 513 021,10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76 513 021,10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45 453 677,00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59,41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76 513 021,10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M06.1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2 715,00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88,73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3 060,00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2C+</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Усвояване </w:t>
            </w:r>
            <w:r>
              <w:rPr>
                <w:sz w:val="16"/>
              </w:rPr>
              <w:t>(%)</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2C+</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Фирми, получили подпомагане  (брой)</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E6E6E6"/>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120,00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E6E6E6"/>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E6E6E6"/>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E6E6E6"/>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2C+</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18 000 000,00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18 000 000,00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M08.6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18 000 000,00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3A</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3A</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T6: процент на земеделските стопанства, получаващи подпомагане по схеми за качество, местни пазари и къси вериги </w:t>
            </w:r>
            <w:r>
              <w:rPr>
                <w:sz w:val="16"/>
              </w:rPr>
              <w:t>на доставки и групи/организации на производителите (област с поставен акцент 3A)</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0,03</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24,70</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0,03</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24,70</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0,12</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3A</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185 742 740,00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58,74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33 699 931,00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10,66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316 230 507,80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12,95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12,95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984 000,00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1 451,00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46,06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3 150,00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180 756 402,00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76,73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31 354 182,00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13,31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235 577 947,10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468 347 358,80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p w:rsidR="002B3815" w:rsidRDefault="0099452B">
            <w:pPr>
              <w:keepNext/>
              <w:spacing w:before="60" w:after="60"/>
              <w:jc w:val="left"/>
              <w:rPr>
                <w:sz w:val="16"/>
              </w:rPr>
            </w:pPr>
            <w:r>
              <w:rPr>
                <w:sz w:val="16"/>
              </w:rPr>
              <w:t>M04.2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15,33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450,00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5 257 548,00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5 257 548,00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M06.2</w:t>
            </w:r>
          </w:p>
          <w:p w:rsidR="002B3815" w:rsidRDefault="0099452B">
            <w:pPr>
              <w:keepNext/>
              <w:spacing w:before="60" w:after="60"/>
              <w:jc w:val="left"/>
              <w:rPr>
                <w:sz w:val="16"/>
              </w:rPr>
            </w:pPr>
            <w:r>
              <w:rPr>
                <w:sz w:val="16"/>
              </w:rPr>
              <w:t>M06.4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2 850 144,00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36,56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231 740,00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2,97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7 795 946,60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2,50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O9 - Брой земеделски стопанства, които участват в подпомаганите </w:t>
            </w:r>
            <w:r>
              <w:rPr>
                <w:sz w:val="16"/>
              </w:rPr>
              <w:t>схеми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67,06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170,00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2 008 798,00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3,53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1 986 613,00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3,49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56 859 510,50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389,00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12,97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9 555 555,60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M16.4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O9 - Брой земеделски стопанства, които участват в подпомаганите схеми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280,00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3B</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Въз основа на одобреното </w:t>
            </w:r>
            <w:r>
              <w:rPr>
                <w:sz w:val="16"/>
              </w:rPr>
              <w:t>(ако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3B</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Брой на участниците в обучения по Мярка 1 "Трансфер на знания и действия за осведомяване " (number)</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E6E6E6"/>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200,00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E6E6E6"/>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E6E6E6"/>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E6E6E6"/>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3B</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36,40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36,40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350 000,00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84,93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127 396,00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84,93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150 000,00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1 535,00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1 023,33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150,00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Приоритет P4</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P4</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T13: процент </w:t>
            </w:r>
            <w:r>
              <w:rPr>
                <w:sz w:val="16"/>
              </w:rPr>
              <w:t>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2,31</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T8: </w:t>
            </w:r>
            <w:r>
              <w:rPr>
                <w:sz w:val="16"/>
              </w:rPr>
              <w:t>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2,56</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T12: процент на земеделската </w:t>
            </w:r>
            <w:r>
              <w:rPr>
                <w:sz w:val="16"/>
              </w:rPr>
              <w:t>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2,48</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209,42</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1,18</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2,46</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207,73</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1,35</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114,00</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2,48</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98,22</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2,52</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2,46</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97,43</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1,35</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53,47</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13,60</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113,35</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12,00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16,47</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137,27</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14,79</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123,26</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P4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612 774 776,00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62,59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387 753 692,23</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39,61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979 028 022,80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5 900 000,00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1 253 382,00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99,85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1 250 382,00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99,61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1 255 318,00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4 487,00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260,12</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1 725,00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158 157 452,70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258 084 643,30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936,00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17 059 596,50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17 059 596,50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56,00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M10</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185 175 343,00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87,62</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96 293 044,95</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45,56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211 346 669,30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198 988,00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176,10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113 000,00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120 072 841,00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79,21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83 483 439,34</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55,07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151 593 438,70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52 849,00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229,78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23 000,00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M11.2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28 060,00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122,00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23 000,00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O1 - Общо </w:t>
            </w:r>
            <w:r>
              <w:rPr>
                <w:sz w:val="16"/>
              </w:rPr>
              <w:t>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102 398 810,00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73,31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69 610 952,79</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49,84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139 676 037,30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371 658,00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96,53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385 000,00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M12.2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M12.3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203 874 400,00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73,97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137 115 873,15</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49,75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275 604 674,70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M13.1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358 728,00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115,72</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310 000,00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M13.2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266 707,00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121,23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220 000,00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M15</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8 750 000,00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M15.1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90 600,00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9 684 835,60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5A</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Наименование на </w:t>
            </w:r>
            <w:r>
              <w:rPr>
                <w:sz w:val="16"/>
              </w:rPr>
              <w:t>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5A</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38,72</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5A</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5 888 108,00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10,55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799 862,00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55 786 971,10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142 369,00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67,79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142 369,00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67,79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210 000,00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4 201,00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646,31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650,00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5 745 739,00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11,39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657 493,00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50 465 860,00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O2 - Общ </w:t>
            </w:r>
            <w:r>
              <w:rPr>
                <w:sz w:val="16"/>
              </w:rPr>
              <w:t>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50 465 860,00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35 000,00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p w:rsidR="002B3815" w:rsidRDefault="0099452B">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17,50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1 111 111,10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5B</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5B</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T15: общи инвестиции за енергийна ефективност (в евро) </w:t>
            </w:r>
            <w:r>
              <w:rPr>
                <w:sz w:val="16"/>
              </w:rPr>
              <w:t>(област с поставен акцент 5Б)</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55 240 936,00</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25,49</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7 750 600,00</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3,58</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216 674 111,30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13 557 418,00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6,26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8 612 674,23</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3,97</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3 442 239,96</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1,59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442 716,77</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0,20</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 xml:space="preserve">Поети </w:t>
            </w:r>
            <w:r>
              <w:rPr>
                <w:sz w:val="16"/>
              </w:rPr>
              <w:t>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5B</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27 465 307,00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22,30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7 209 287,00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5,85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123 152 677,90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2 550 000,00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O1 - </w:t>
            </w:r>
            <w:r>
              <w:rPr>
                <w:sz w:val="16"/>
              </w:rPr>
              <w:t>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464 785,00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99,50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464 786,00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99,50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467 100,00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O13 - Брой на консултираните </w:t>
            </w:r>
            <w:r>
              <w:rPr>
                <w:sz w:val="16"/>
              </w:rPr>
              <w:t>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4 805,00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565,29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850,00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27 000 522,00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22,68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6 744 501,00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5,67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119 024 466,80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216 674 111,30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p w:rsidR="002B3815" w:rsidRDefault="0099452B">
            <w:pPr>
              <w:keepNext/>
              <w:spacing w:before="60" w:after="60"/>
              <w:jc w:val="left"/>
              <w:rPr>
                <w:sz w:val="16"/>
              </w:rPr>
            </w:pPr>
            <w:r>
              <w:rPr>
                <w:sz w:val="16"/>
              </w:rPr>
              <w:t>M04.2</w:t>
            </w:r>
          </w:p>
          <w:p w:rsidR="002B3815" w:rsidRDefault="0099452B">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O3 - Брой на </w:t>
            </w:r>
            <w:r>
              <w:rPr>
                <w:sz w:val="16"/>
              </w:rPr>
              <w:t>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9,88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405,00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1 111 111,10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5C</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Въз основа на одобреното (ако е </w:t>
            </w:r>
            <w:r>
              <w:rPr>
                <w:sz w:val="16"/>
              </w:rPr>
              <w:t>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5C</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T16: общ размер на инвестициите в производство на енергия от възобновяеми източници (в евро) (област с поставен акцент 5В)</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4 445 644,00</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2,97</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298 382,00</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0,20</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149 544 703,80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3 679 321,00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2 616 176,94</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1,75</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435 866,93</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0,29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435 866,93</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0,29</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5C</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O1 - Общо публични </w:t>
            </w:r>
            <w:r>
              <w:rPr>
                <w:sz w:val="16"/>
              </w:rPr>
              <w:t>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2 551 489,00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2,21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709 453,00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0,62</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115 281 488,40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550 000,00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464 785,00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162,77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464 786,00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162,77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285 555,00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4 805,00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1 295,15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371,00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1 708 374,00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3,94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244 667,00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0,56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43 334 822,30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79 544 703,80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p w:rsidR="002B3815" w:rsidRDefault="0099452B">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3,72</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215,00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378 330,00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0,54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70 000 000,00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M07.2</w:t>
            </w:r>
          </w:p>
          <w:p w:rsidR="002B3815" w:rsidRDefault="0099452B">
            <w:pPr>
              <w:keepNext/>
              <w:spacing w:before="60" w:after="60"/>
              <w:jc w:val="left"/>
              <w:rPr>
                <w:sz w:val="16"/>
              </w:rPr>
            </w:pPr>
            <w:r>
              <w:rPr>
                <w:sz w:val="16"/>
              </w:rPr>
              <w:t>M07.3</w:t>
            </w:r>
          </w:p>
          <w:p w:rsidR="002B3815" w:rsidRDefault="0099452B">
            <w:pPr>
              <w:keepNext/>
              <w:spacing w:before="60" w:after="60"/>
              <w:jc w:val="left"/>
              <w:rPr>
                <w:sz w:val="16"/>
              </w:rPr>
            </w:pPr>
            <w:r>
              <w:rPr>
                <w:sz w:val="16"/>
              </w:rPr>
              <w:t>M07.4</w:t>
            </w:r>
          </w:p>
          <w:p w:rsidR="002B3815" w:rsidRDefault="0099452B">
            <w:pPr>
              <w:keepNext/>
              <w:spacing w:before="60" w:after="60"/>
              <w:jc w:val="left"/>
              <w:rPr>
                <w:sz w:val="16"/>
              </w:rPr>
            </w:pPr>
            <w:r>
              <w:rPr>
                <w:sz w:val="16"/>
              </w:rPr>
              <w:t>M07.5</w:t>
            </w:r>
          </w:p>
          <w:p w:rsidR="002B3815" w:rsidRDefault="0099452B">
            <w:pPr>
              <w:keepNext/>
              <w:spacing w:before="60" w:after="60"/>
              <w:jc w:val="left"/>
              <w:rPr>
                <w:sz w:val="16"/>
              </w:rPr>
            </w:pPr>
            <w:r>
              <w:rPr>
                <w:sz w:val="16"/>
              </w:rPr>
              <w:t>M07.6</w:t>
            </w:r>
          </w:p>
          <w:p w:rsidR="002B3815" w:rsidRDefault="0099452B">
            <w:pPr>
              <w:keepNext/>
              <w:spacing w:before="60" w:after="60"/>
              <w:jc w:val="left"/>
              <w:rPr>
                <w:sz w:val="16"/>
              </w:rPr>
            </w:pPr>
            <w:r>
              <w:rPr>
                <w:sz w:val="16"/>
              </w:rPr>
              <w:t>M07.7</w:t>
            </w:r>
          </w:p>
          <w:p w:rsidR="002B3815" w:rsidRDefault="0099452B">
            <w:pPr>
              <w:keepNext/>
              <w:spacing w:before="60" w:after="60"/>
              <w:jc w:val="left"/>
              <w:rPr>
                <w:sz w:val="16"/>
              </w:rPr>
            </w:pPr>
            <w:r>
              <w:rPr>
                <w:sz w:val="16"/>
              </w:rPr>
              <w:t>M07.8</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70 000 000,00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 xml:space="preserve">O1 - </w:t>
            </w:r>
            <w:r>
              <w:rPr>
                <w:sz w:val="16"/>
              </w:rPr>
              <w:t>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1 111 111,10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5D</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5D</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T18: процент на </w:t>
            </w:r>
            <w:r>
              <w:rPr>
                <w:sz w:val="16"/>
              </w:rPr>
              <w:t>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0,02</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12,79</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0,16</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0,63</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402,80</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0,54</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345,26</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T17: </w:t>
            </w:r>
            <w:r>
              <w:rPr>
                <w:sz w:val="16"/>
              </w:rPr>
              <w:t>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0,09</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5,71</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1,58</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0,09</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5,71</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5D</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30 277 975,00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50,60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18 492 247,59</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30,90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59 841 250,60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3 694 595,00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464 785,00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162,57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464 786,00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162,57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285 900,00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4 805,00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266,94</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1 800,00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1 787 076,00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269 488,00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0,63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42 749 644,50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71 249 407,50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p w:rsidR="002B3815" w:rsidRDefault="0099452B">
            <w:pPr>
              <w:keepNext/>
              <w:spacing w:before="60" w:after="60"/>
              <w:jc w:val="left"/>
              <w:rPr>
                <w:sz w:val="16"/>
              </w:rPr>
            </w:pPr>
            <w:r>
              <w:rPr>
                <w:sz w:val="16"/>
              </w:rPr>
              <w:t>M04.3</w:t>
            </w:r>
          </w:p>
          <w:p w:rsidR="002B3815" w:rsidRDefault="0099452B">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2,43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370,00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M04.1</w:t>
            </w:r>
          </w:p>
          <w:p w:rsidR="002B3815" w:rsidRDefault="0099452B">
            <w:pPr>
              <w:keepNext/>
              <w:spacing w:before="60" w:after="60"/>
              <w:jc w:val="left"/>
              <w:rPr>
                <w:sz w:val="16"/>
              </w:rPr>
            </w:pPr>
            <w:r>
              <w:rPr>
                <w:sz w:val="16"/>
              </w:rPr>
              <w:t>M04.3</w:t>
            </w:r>
          </w:p>
          <w:p w:rsidR="002B3815" w:rsidRDefault="0099452B">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O8 - Брой на подпомаганите животински единици (ЖЕ)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1 000,00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5,52</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18 105,00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M10</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28 026 114,00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233,55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17 757 973,59</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147,98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29 894,00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427,06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1 111 111,10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5E</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w:t>
            </w:r>
            <w:r>
              <w:rPr>
                <w:sz w:val="16"/>
              </w:rPr>
              <w:t xml:space="preserve">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5E</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w:t>
            </w:r>
            <w:r>
              <w:rPr>
                <w:sz w:val="16"/>
              </w:rPr>
              <w:t>5Д)</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0,02</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5E</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1 087 849,00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3,49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1 048 534,00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3,37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31 156 389,70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1 300 000,00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w:t>
            </w:r>
            <w:r>
              <w:rPr>
                <w:sz w:val="16"/>
              </w:rPr>
              <w:t xml:space="preserve">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464 785,00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167,49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464 786,00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167,49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277 500,00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4 711,00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261,72</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1 800,00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623 064,00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2,19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583 748,00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2,05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28 467 778,60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583 748,00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6,33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9 217 778,60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2 050,00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M08.5</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11 250 000,00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M08.5</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1 111 111,10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6A</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Въз </w:t>
            </w:r>
            <w:r>
              <w:rPr>
                <w:sz w:val="16"/>
              </w:rPr>
              <w:t>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6A</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T20: работни места, разкрити в подпомогнатите проекти (област с поставен акцент 6А)</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706,00</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16,53</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4 270,00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234,00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5,48</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6A</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127 945 241,00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127 945 241,00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161 421 952,20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M06.2</w:t>
            </w:r>
          </w:p>
          <w:p w:rsidR="002B3815" w:rsidRDefault="0099452B">
            <w:pPr>
              <w:spacing w:before="60" w:after="60"/>
              <w:jc w:val="left"/>
              <w:rPr>
                <w:sz w:val="16"/>
              </w:rPr>
            </w:pPr>
            <w:r>
              <w:rPr>
                <w:sz w:val="16"/>
              </w:rPr>
              <w:t>M06.4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1 600,00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6B</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Цел за 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6B</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T23: работни места, разкрити в подпомогнатите проекти (Leader)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600,00</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4,57</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13,70</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33,36</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T21: процент от населението в селските райони, обхванато от стратегии за местно развитие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27,53</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120,18</w:t>
            </w: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22,91</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16,42</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71,68</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16,42</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71,68</w:t>
            </w: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6B</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589 565 496,10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89,71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13 795 628,00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2,10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657 210 187,30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468 958 626,00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89,20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6 043 509,00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525 725 910,60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M07.1</w:t>
            </w:r>
          </w:p>
          <w:p w:rsidR="002B3815" w:rsidRDefault="0099452B">
            <w:pPr>
              <w:keepNext/>
              <w:spacing w:before="60" w:after="60"/>
              <w:jc w:val="left"/>
              <w:rPr>
                <w:sz w:val="16"/>
              </w:rPr>
            </w:pPr>
            <w:r>
              <w:rPr>
                <w:sz w:val="16"/>
              </w:rPr>
              <w:t>M07.2</w:t>
            </w:r>
          </w:p>
          <w:p w:rsidR="002B3815" w:rsidRDefault="0099452B">
            <w:pPr>
              <w:keepNext/>
              <w:spacing w:before="60" w:after="60"/>
              <w:jc w:val="left"/>
              <w:rPr>
                <w:sz w:val="16"/>
              </w:rPr>
            </w:pPr>
            <w:r>
              <w:rPr>
                <w:sz w:val="16"/>
              </w:rPr>
              <w:t>M07.4</w:t>
            </w:r>
          </w:p>
          <w:p w:rsidR="002B3815" w:rsidRDefault="0099452B">
            <w:pPr>
              <w:keepNext/>
              <w:spacing w:before="60" w:after="60"/>
              <w:jc w:val="left"/>
              <w:rPr>
                <w:sz w:val="16"/>
              </w:rPr>
            </w:pPr>
            <w:r>
              <w:rPr>
                <w:sz w:val="16"/>
              </w:rPr>
              <w:t>M07.5</w:t>
            </w:r>
          </w:p>
          <w:p w:rsidR="002B3815" w:rsidRDefault="0099452B">
            <w:pPr>
              <w:keepNext/>
              <w:spacing w:before="60" w:after="60"/>
              <w:jc w:val="left"/>
              <w:rPr>
                <w:sz w:val="16"/>
              </w:rPr>
            </w:pPr>
            <w:r>
              <w:rPr>
                <w:sz w:val="16"/>
              </w:rPr>
              <w:t>M07.6</w:t>
            </w:r>
          </w:p>
          <w:p w:rsidR="002B3815" w:rsidRDefault="0099452B">
            <w:pPr>
              <w:keepNext/>
              <w:spacing w:before="60" w:after="60"/>
              <w:jc w:val="left"/>
              <w:rPr>
                <w:sz w:val="16"/>
              </w:rPr>
            </w:pPr>
            <w:r>
              <w:rPr>
                <w:sz w:val="16"/>
              </w:rPr>
              <w:t>M07.7</w:t>
            </w:r>
          </w:p>
          <w:p w:rsidR="002B3815" w:rsidRDefault="0099452B">
            <w:pPr>
              <w:keepNext/>
              <w:spacing w:before="60" w:after="60"/>
              <w:jc w:val="left"/>
              <w:rPr>
                <w:sz w:val="16"/>
              </w:rPr>
            </w:pPr>
            <w:r>
              <w:rPr>
                <w:sz w:val="16"/>
              </w:rPr>
              <w:t>M07.8</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O15 - Брой на жителите, които се ползват от подобрени услуги/инфраструктура (ИТ или други)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273 595,00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13,71</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1 995 000,00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O3 - Брой на </w:t>
            </w:r>
            <w:r>
              <w:rPr>
                <w:sz w:val="16"/>
              </w:rPr>
              <w:t>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0,88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570,00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M07.5</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250,00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M07.6</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19,00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120 606 870,10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91,73</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7 752 119,00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5,90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131 484 276,70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O18 - Брой на жителите, обхванати от местните групи за действие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1 646 588,00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120,19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1 370 000,00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 xml:space="preserve">O19 - Брой на избраните местни </w:t>
            </w:r>
            <w:r>
              <w:rPr>
                <w:sz w:val="16"/>
              </w:rPr>
              <w:t>групи за действие</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64,00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106,67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M19.1</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1 986 946,00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41,69</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4 766 442,20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M19.2</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90 163 875,60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M19.3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6 500 000,00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M19.4</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5 765 173,00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19,18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30 053 958,90</w:t>
            </w:r>
          </w:p>
        </w:tc>
      </w:tr>
    </w:tbl>
    <w:p w:rsidR="002B3815" w:rsidRDefault="002B3815">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2B3815">
        <w:tc>
          <w:tcPr>
            <w:tcW w:w="750" w:type="pct"/>
            <w:gridSpan w:val="8"/>
            <w:tcBorders>
              <w:bottom w:val="single" w:sz="4" w:space="0" w:color="auto"/>
            </w:tcBorders>
            <w:shd w:val="clear" w:color="auto" w:fill="808080"/>
            <w:tcMar>
              <w:top w:w="20" w:type="dxa"/>
              <w:left w:w="20" w:type="dxa"/>
              <w:bottom w:w="20" w:type="dxa"/>
            </w:tcMar>
            <w:vAlign w:val="center"/>
          </w:tcPr>
          <w:p w:rsidR="002B3815" w:rsidRDefault="0099452B">
            <w:pPr>
              <w:keepNext/>
              <w:spacing w:before="60" w:after="60"/>
              <w:jc w:val="center"/>
              <w:rPr>
                <w:b/>
                <w:sz w:val="20"/>
              </w:rPr>
            </w:pPr>
            <w:r>
              <w:rPr>
                <w:b/>
                <w:sz w:val="20"/>
              </w:rPr>
              <w:t>Акцентирана област 6C</w:t>
            </w:r>
          </w:p>
        </w:tc>
      </w:tr>
      <w:tr w:rsidR="002B3815">
        <w:tc>
          <w:tcPr>
            <w:tcW w:w="2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2B3815" w:rsidRDefault="0099452B">
            <w:pPr>
              <w:keepNext/>
              <w:spacing w:before="60" w:after="60"/>
              <w:jc w:val="center"/>
              <w:rPr>
                <w:sz w:val="16"/>
              </w:rPr>
            </w:pPr>
            <w:r>
              <w:rPr>
                <w:sz w:val="16"/>
              </w:rPr>
              <w:t xml:space="preserve">Цел за </w:t>
            </w:r>
            <w:r>
              <w:rPr>
                <w:sz w:val="16"/>
              </w:rPr>
              <w:t>2023 г.</w:t>
            </w:r>
          </w:p>
        </w:tc>
      </w:tr>
      <w:tr w:rsidR="002B3815">
        <w:tc>
          <w:tcPr>
            <w:tcW w:w="20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6C</w:t>
            </w:r>
          </w:p>
        </w:tc>
        <w:tc>
          <w:tcPr>
            <w:tcW w:w="10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1,64</w:t>
            </w: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r>
      <w:tr w:rsidR="002B3815">
        <w:tc>
          <w:tcPr>
            <w:tcW w:w="20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center"/>
              <w:rPr>
                <w:sz w:val="16"/>
              </w:rPr>
            </w:pPr>
          </w:p>
        </w:tc>
      </w:tr>
      <w:tr w:rsidR="002B3815">
        <w:tc>
          <w:tcPr>
            <w:tcW w:w="2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 xml:space="preserve">Показател за </w:t>
            </w:r>
            <w:r>
              <w:rPr>
                <w:sz w:val="16"/>
              </w:rPr>
              <w:t>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2B3815" w:rsidRDefault="0099452B">
            <w:pPr>
              <w:keepNext/>
              <w:spacing w:before="60" w:after="60"/>
              <w:jc w:val="center"/>
              <w:rPr>
                <w:sz w:val="16"/>
              </w:rPr>
            </w:pPr>
            <w:r>
              <w:rPr>
                <w:sz w:val="16"/>
              </w:rPr>
              <w:t>Планирано за 2023 г.</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b/>
                <w:sz w:val="16"/>
              </w:rPr>
              <w:t>6C</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30 000 000,00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30 000 000,00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M07.3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left"/>
              <w:rPr>
                <w:sz w:val="16"/>
              </w:rPr>
            </w:pPr>
            <w:r>
              <w:rPr>
                <w:sz w:val="16"/>
              </w:rPr>
              <w:t>O15 - Брой на жителите, които се ползват от подобрени услуги/инфраструктура (ИТ или други)</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keepNext/>
              <w:spacing w:before="60" w:after="60"/>
              <w:jc w:val="right"/>
              <w:rPr>
                <w:sz w:val="16"/>
              </w:rPr>
            </w:pPr>
            <w:r>
              <w:rPr>
                <w:sz w:val="16"/>
              </w:rPr>
              <w:t>98 000,00</w:t>
            </w:r>
          </w:p>
        </w:tc>
      </w:tr>
      <w:tr w:rsidR="002B3815">
        <w:tc>
          <w:tcPr>
            <w:tcW w:w="2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M07.3</w:t>
            </w:r>
          </w:p>
        </w:tc>
        <w:tc>
          <w:tcPr>
            <w:tcW w:w="10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2B3815" w:rsidRDefault="002B3815">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50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0,00</w:t>
            </w:r>
          </w:p>
        </w:tc>
        <w:tc>
          <w:tcPr>
            <w:tcW w:w="750" w:type="pct"/>
            <w:tcBorders>
              <w:bottom w:val="single" w:sz="4" w:space="0" w:color="auto"/>
            </w:tcBorders>
            <w:shd w:val="clear" w:color="auto" w:fill="FFFFFF"/>
            <w:tcMar>
              <w:top w:w="20" w:type="dxa"/>
              <w:left w:w="20" w:type="dxa"/>
              <w:bottom w:w="20" w:type="dxa"/>
            </w:tcMar>
            <w:vAlign w:val="center"/>
          </w:tcPr>
          <w:p w:rsidR="002B3815" w:rsidRDefault="0099452B">
            <w:pPr>
              <w:spacing w:before="60" w:after="60"/>
              <w:jc w:val="right"/>
              <w:rPr>
                <w:sz w:val="16"/>
              </w:rPr>
            </w:pPr>
            <w:r>
              <w:rPr>
                <w:sz w:val="16"/>
              </w:rPr>
              <w:t>19,00</w:t>
            </w:r>
          </w:p>
        </w:tc>
      </w:tr>
    </w:tbl>
    <w:p w:rsidR="002B3815" w:rsidRDefault="002B3815">
      <w:pPr>
        <w:spacing w:before="60" w:after="60"/>
        <w:jc w:val="center"/>
        <w:rPr>
          <w:b/>
          <w:sz w:val="20"/>
        </w:rPr>
      </w:pPr>
    </w:p>
    <w:p w:rsidR="002B3815" w:rsidRDefault="002B3815">
      <w:pPr>
        <w:spacing w:before="60" w:after="60"/>
        <w:jc w:val="center"/>
        <w:sectPr w:rsidR="002B3815">
          <w:pgSz w:w="12240" w:h="15840"/>
          <w:pgMar w:top="900" w:right="900" w:bottom="900" w:left="900" w:header="720" w:footer="720" w:gutter="0"/>
          <w:cols w:space="720"/>
        </w:sectPr>
      </w:pPr>
    </w:p>
    <w:p w:rsidR="002B3815" w:rsidRDefault="0099452B">
      <w:pPr>
        <w:pStyle w:val="Subtitle"/>
      </w:pPr>
      <w:bookmarkStart w:id="242" w:name="_Toc256000243"/>
      <w:bookmarkStart w:id="243" w:name="_Toc256000161"/>
      <w:bookmarkStart w:id="244" w:name="_Toc256000079"/>
      <w:r>
        <w:t>Документи</w:t>
      </w:r>
      <w:bookmarkEnd w:id="242"/>
      <w:bookmarkEnd w:id="243"/>
      <w:bookmarkEnd w:id="2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254"/>
        <w:gridCol w:w="1420"/>
        <w:gridCol w:w="1421"/>
        <w:gridCol w:w="1421"/>
        <w:gridCol w:w="1421"/>
        <w:gridCol w:w="3341"/>
        <w:gridCol w:w="1211"/>
        <w:gridCol w:w="1181"/>
      </w:tblGrid>
      <w:tr w:rsidR="002B3815">
        <w:tc>
          <w:tcPr>
            <w:tcW w:w="750" w:type="pct"/>
            <w:shd w:val="clear" w:color="auto" w:fill="C0C0C0"/>
            <w:tcMar>
              <w:top w:w="60" w:type="dxa"/>
            </w:tcMar>
          </w:tcPr>
          <w:p w:rsidR="002B3815" w:rsidRDefault="0099452B">
            <w:pPr>
              <w:jc w:val="center"/>
              <w:rPr>
                <w:b/>
                <w:sz w:val="20"/>
              </w:rPr>
            </w:pPr>
            <w:r>
              <w:rPr>
                <w:b/>
                <w:sz w:val="20"/>
              </w:rPr>
              <w:t xml:space="preserve">Заглавие на </w:t>
            </w:r>
            <w:r>
              <w:rPr>
                <w:b/>
                <w:sz w:val="20"/>
              </w:rPr>
              <w:t>документа</w:t>
            </w:r>
          </w:p>
        </w:tc>
        <w:tc>
          <w:tcPr>
            <w:tcW w:w="750" w:type="pct"/>
            <w:shd w:val="clear" w:color="auto" w:fill="C0C0C0"/>
            <w:tcMar>
              <w:top w:w="60" w:type="dxa"/>
            </w:tcMar>
          </w:tcPr>
          <w:p w:rsidR="002B3815" w:rsidRDefault="0099452B">
            <w:pPr>
              <w:jc w:val="center"/>
              <w:rPr>
                <w:b/>
                <w:sz w:val="20"/>
              </w:rPr>
            </w:pPr>
            <w:r>
              <w:rPr>
                <w:b/>
                <w:sz w:val="20"/>
              </w:rPr>
              <w:t>Вид документ</w:t>
            </w:r>
          </w:p>
        </w:tc>
        <w:tc>
          <w:tcPr>
            <w:tcW w:w="750" w:type="pct"/>
            <w:shd w:val="clear" w:color="auto" w:fill="C0C0C0"/>
            <w:tcMar>
              <w:top w:w="60" w:type="dxa"/>
            </w:tcMar>
          </w:tcPr>
          <w:p w:rsidR="002B3815" w:rsidRDefault="0099452B">
            <w:pPr>
              <w:jc w:val="center"/>
              <w:rPr>
                <w:b/>
                <w:sz w:val="20"/>
              </w:rPr>
            </w:pPr>
            <w:r>
              <w:rPr>
                <w:b/>
                <w:sz w:val="20"/>
              </w:rPr>
              <w:t>Дата на документа</w:t>
            </w:r>
          </w:p>
        </w:tc>
        <w:tc>
          <w:tcPr>
            <w:tcW w:w="750" w:type="pct"/>
            <w:shd w:val="clear" w:color="auto" w:fill="C0C0C0"/>
            <w:tcMar>
              <w:top w:w="60" w:type="dxa"/>
            </w:tcMar>
          </w:tcPr>
          <w:p w:rsidR="002B3815" w:rsidRDefault="0099452B">
            <w:pPr>
              <w:jc w:val="center"/>
              <w:rPr>
                <w:b/>
                <w:sz w:val="20"/>
              </w:rPr>
            </w:pPr>
            <w:r>
              <w:rPr>
                <w:b/>
                <w:sz w:val="20"/>
              </w:rPr>
              <w:t>Локален референтен номер</w:t>
            </w:r>
          </w:p>
        </w:tc>
        <w:tc>
          <w:tcPr>
            <w:tcW w:w="750" w:type="pct"/>
            <w:shd w:val="clear" w:color="auto" w:fill="C0C0C0"/>
            <w:tcMar>
              <w:top w:w="60" w:type="dxa"/>
            </w:tcMar>
          </w:tcPr>
          <w:p w:rsidR="002B3815" w:rsidRDefault="0099452B">
            <w:pPr>
              <w:jc w:val="center"/>
              <w:rPr>
                <w:b/>
                <w:sz w:val="20"/>
              </w:rPr>
            </w:pPr>
            <w:r>
              <w:rPr>
                <w:b/>
                <w:sz w:val="20"/>
              </w:rPr>
              <w:t>Референтен номер на Комисията</w:t>
            </w:r>
          </w:p>
        </w:tc>
        <w:tc>
          <w:tcPr>
            <w:tcW w:w="750" w:type="pct"/>
            <w:shd w:val="clear" w:color="auto" w:fill="C0C0C0"/>
            <w:tcMar>
              <w:top w:w="60" w:type="dxa"/>
            </w:tcMar>
          </w:tcPr>
          <w:p w:rsidR="002B3815" w:rsidRDefault="0099452B">
            <w:pPr>
              <w:jc w:val="center"/>
              <w:rPr>
                <w:b/>
                <w:sz w:val="20"/>
              </w:rPr>
            </w:pPr>
            <w:r>
              <w:rPr>
                <w:b/>
                <w:sz w:val="20"/>
              </w:rPr>
              <w:t>Контролна сума</w:t>
            </w:r>
          </w:p>
        </w:tc>
        <w:tc>
          <w:tcPr>
            <w:tcW w:w="750" w:type="pct"/>
            <w:shd w:val="clear" w:color="auto" w:fill="C0C0C0"/>
            <w:tcMar>
              <w:top w:w="60" w:type="dxa"/>
            </w:tcMar>
          </w:tcPr>
          <w:p w:rsidR="002B3815" w:rsidRDefault="0099452B">
            <w:pPr>
              <w:jc w:val="center"/>
              <w:rPr>
                <w:b/>
                <w:sz w:val="20"/>
              </w:rPr>
            </w:pPr>
            <w:r>
              <w:rPr>
                <w:b/>
                <w:sz w:val="20"/>
              </w:rPr>
              <w:t>Файлове</w:t>
            </w:r>
          </w:p>
        </w:tc>
        <w:tc>
          <w:tcPr>
            <w:tcW w:w="750" w:type="pct"/>
            <w:shd w:val="clear" w:color="auto" w:fill="C0C0C0"/>
            <w:tcMar>
              <w:top w:w="60" w:type="dxa"/>
            </w:tcMar>
          </w:tcPr>
          <w:p w:rsidR="002B3815" w:rsidRDefault="0099452B">
            <w:pPr>
              <w:jc w:val="center"/>
              <w:rPr>
                <w:b/>
                <w:sz w:val="20"/>
              </w:rPr>
            </w:pPr>
            <w:r>
              <w:rPr>
                <w:b/>
                <w:sz w:val="20"/>
              </w:rPr>
              <w:t>Дата на изпращане</w:t>
            </w:r>
          </w:p>
        </w:tc>
        <w:tc>
          <w:tcPr>
            <w:tcW w:w="750" w:type="pct"/>
            <w:shd w:val="clear" w:color="auto" w:fill="C0C0C0"/>
            <w:tcMar>
              <w:top w:w="60" w:type="dxa"/>
            </w:tcMar>
          </w:tcPr>
          <w:p w:rsidR="002B3815" w:rsidRDefault="0099452B">
            <w:pPr>
              <w:jc w:val="center"/>
              <w:rPr>
                <w:sz w:val="20"/>
              </w:rPr>
            </w:pPr>
            <w:r>
              <w:rPr>
                <w:b/>
                <w:sz w:val="20"/>
              </w:rPr>
              <w:t>Изпратено от</w:t>
            </w:r>
          </w:p>
        </w:tc>
      </w:tr>
      <w:tr w:rsidR="002B3815">
        <w:tc>
          <w:tcPr>
            <w:tcW w:w="750" w:type="pct"/>
            <w:shd w:val="clear" w:color="auto" w:fill="FFFFFF"/>
            <w:tcMar>
              <w:top w:w="60" w:type="dxa"/>
            </w:tcMar>
          </w:tcPr>
          <w:p w:rsidR="002B3815" w:rsidRDefault="0099452B">
            <w:pPr>
              <w:jc w:val="left"/>
              <w:rPr>
                <w:sz w:val="16"/>
              </w:rPr>
            </w:pPr>
            <w:r>
              <w:rPr>
                <w:sz w:val="16"/>
              </w:rPr>
              <w:t>AIR Financial Annex 2014BG06RDNP001</w:t>
            </w:r>
          </w:p>
        </w:tc>
        <w:tc>
          <w:tcPr>
            <w:tcW w:w="750" w:type="pct"/>
            <w:shd w:val="clear" w:color="auto" w:fill="FFFFFF"/>
            <w:tcMar>
              <w:top w:w="60" w:type="dxa"/>
            </w:tcMar>
          </w:tcPr>
          <w:p w:rsidR="002B3815" w:rsidRDefault="0099452B">
            <w:pPr>
              <w:jc w:val="left"/>
              <w:rPr>
                <w:sz w:val="16"/>
              </w:rPr>
            </w:pPr>
            <w:r>
              <w:rPr>
                <w:sz w:val="16"/>
              </w:rPr>
              <w:t>Финансово приложение (системно)</w:t>
            </w:r>
          </w:p>
        </w:tc>
        <w:tc>
          <w:tcPr>
            <w:tcW w:w="750" w:type="pct"/>
            <w:shd w:val="clear" w:color="auto" w:fill="FFFFFF"/>
            <w:tcMar>
              <w:top w:w="60" w:type="dxa"/>
            </w:tcMar>
          </w:tcPr>
          <w:p w:rsidR="002B3815" w:rsidRDefault="0099452B">
            <w:pPr>
              <w:jc w:val="left"/>
              <w:rPr>
                <w:sz w:val="16"/>
              </w:rPr>
            </w:pPr>
            <w:r>
              <w:rPr>
                <w:sz w:val="16"/>
              </w:rPr>
              <w:t>30-04-2019</w:t>
            </w:r>
          </w:p>
        </w:tc>
        <w:tc>
          <w:tcPr>
            <w:tcW w:w="750" w:type="pct"/>
            <w:shd w:val="clear" w:color="auto" w:fill="FFFFFF"/>
            <w:tcMar>
              <w:top w:w="60" w:type="dxa"/>
            </w:tcMar>
          </w:tcPr>
          <w:p w:rsidR="002B3815" w:rsidRDefault="002B3815">
            <w:pPr>
              <w:jc w:val="left"/>
              <w:rPr>
                <w:sz w:val="16"/>
              </w:rPr>
            </w:pPr>
          </w:p>
        </w:tc>
        <w:tc>
          <w:tcPr>
            <w:tcW w:w="750" w:type="pct"/>
            <w:shd w:val="clear" w:color="auto" w:fill="FFFFFF"/>
            <w:tcMar>
              <w:top w:w="60" w:type="dxa"/>
            </w:tcMar>
          </w:tcPr>
          <w:p w:rsidR="002B3815" w:rsidRDefault="002B3815">
            <w:pPr>
              <w:jc w:val="left"/>
              <w:rPr>
                <w:sz w:val="16"/>
              </w:rPr>
            </w:pPr>
          </w:p>
        </w:tc>
        <w:tc>
          <w:tcPr>
            <w:tcW w:w="750" w:type="pct"/>
            <w:shd w:val="clear" w:color="auto" w:fill="FFFFFF"/>
            <w:tcMar>
              <w:top w:w="60" w:type="dxa"/>
            </w:tcMar>
          </w:tcPr>
          <w:p w:rsidR="002B3815" w:rsidRDefault="0099452B">
            <w:pPr>
              <w:jc w:val="left"/>
              <w:rPr>
                <w:sz w:val="16"/>
              </w:rPr>
            </w:pPr>
            <w:r>
              <w:rPr>
                <w:sz w:val="16"/>
              </w:rPr>
              <w:t>61485109</w:t>
            </w:r>
          </w:p>
        </w:tc>
        <w:tc>
          <w:tcPr>
            <w:tcW w:w="750" w:type="pct"/>
            <w:shd w:val="clear" w:color="auto" w:fill="FFFFFF"/>
            <w:tcMar>
              <w:top w:w="60" w:type="dxa"/>
            </w:tcMar>
          </w:tcPr>
          <w:p w:rsidR="002B3815" w:rsidRDefault="0099452B">
            <w:pPr>
              <w:jc w:val="left"/>
              <w:rPr>
                <w:sz w:val="16"/>
              </w:rPr>
            </w:pPr>
            <w:r>
              <w:rPr>
                <w:sz w:val="16"/>
              </w:rPr>
              <w:t>AIRfinancialAnnex2014BG06RDNP001_bg.pdf</w:t>
            </w:r>
          </w:p>
        </w:tc>
        <w:tc>
          <w:tcPr>
            <w:tcW w:w="750" w:type="pct"/>
            <w:shd w:val="clear" w:color="auto" w:fill="FFFFFF"/>
            <w:tcMar>
              <w:top w:w="60" w:type="dxa"/>
            </w:tcMar>
          </w:tcPr>
          <w:p w:rsidR="002B3815" w:rsidRDefault="002B3815">
            <w:pPr>
              <w:jc w:val="left"/>
              <w:rPr>
                <w:sz w:val="16"/>
              </w:rPr>
            </w:pPr>
          </w:p>
        </w:tc>
        <w:tc>
          <w:tcPr>
            <w:tcW w:w="750" w:type="pct"/>
            <w:shd w:val="clear" w:color="auto" w:fill="FFFFFF"/>
            <w:tcMar>
              <w:top w:w="60" w:type="dxa"/>
            </w:tcMar>
          </w:tcPr>
          <w:p w:rsidR="002B3815" w:rsidRDefault="002B3815">
            <w:pPr>
              <w:jc w:val="left"/>
              <w:rPr>
                <w:sz w:val="16"/>
              </w:rPr>
            </w:pPr>
          </w:p>
        </w:tc>
      </w:tr>
      <w:tr w:rsidR="002B3815">
        <w:tc>
          <w:tcPr>
            <w:tcW w:w="750" w:type="pct"/>
            <w:shd w:val="clear" w:color="auto" w:fill="FFFFFF"/>
            <w:tcMar>
              <w:top w:w="60" w:type="dxa"/>
            </w:tcMar>
          </w:tcPr>
          <w:p w:rsidR="002B3815" w:rsidRDefault="0099452B">
            <w:pPr>
              <w:jc w:val="left"/>
              <w:rPr>
                <w:sz w:val="16"/>
              </w:rPr>
            </w:pPr>
            <w:r>
              <w:rPr>
                <w:sz w:val="16"/>
              </w:rPr>
              <w:t>Резюме за гражданите 2018</w:t>
            </w:r>
          </w:p>
        </w:tc>
        <w:tc>
          <w:tcPr>
            <w:tcW w:w="750" w:type="pct"/>
            <w:shd w:val="clear" w:color="auto" w:fill="FFFFFF"/>
            <w:tcMar>
              <w:top w:w="60" w:type="dxa"/>
            </w:tcMar>
          </w:tcPr>
          <w:p w:rsidR="002B3815" w:rsidRDefault="0099452B">
            <w:pPr>
              <w:jc w:val="left"/>
              <w:rPr>
                <w:sz w:val="16"/>
              </w:rPr>
            </w:pPr>
            <w:r>
              <w:rPr>
                <w:sz w:val="16"/>
              </w:rPr>
              <w:t>Резюме за гражданите</w:t>
            </w:r>
          </w:p>
        </w:tc>
        <w:tc>
          <w:tcPr>
            <w:tcW w:w="750" w:type="pct"/>
            <w:shd w:val="clear" w:color="auto" w:fill="FFFFFF"/>
            <w:tcMar>
              <w:top w:w="60" w:type="dxa"/>
            </w:tcMar>
          </w:tcPr>
          <w:p w:rsidR="002B3815" w:rsidRDefault="0099452B">
            <w:pPr>
              <w:jc w:val="left"/>
              <w:rPr>
                <w:sz w:val="16"/>
              </w:rPr>
            </w:pPr>
            <w:r>
              <w:rPr>
                <w:sz w:val="16"/>
              </w:rPr>
              <w:t>28-05-2019</w:t>
            </w:r>
          </w:p>
        </w:tc>
        <w:tc>
          <w:tcPr>
            <w:tcW w:w="750" w:type="pct"/>
            <w:shd w:val="clear" w:color="auto" w:fill="FFFFFF"/>
            <w:tcMar>
              <w:top w:w="60" w:type="dxa"/>
            </w:tcMar>
          </w:tcPr>
          <w:p w:rsidR="002B3815" w:rsidRDefault="002B3815">
            <w:pPr>
              <w:jc w:val="left"/>
              <w:rPr>
                <w:sz w:val="16"/>
              </w:rPr>
            </w:pPr>
          </w:p>
        </w:tc>
        <w:tc>
          <w:tcPr>
            <w:tcW w:w="750" w:type="pct"/>
            <w:shd w:val="clear" w:color="auto" w:fill="FFFFFF"/>
            <w:tcMar>
              <w:top w:w="60" w:type="dxa"/>
            </w:tcMar>
          </w:tcPr>
          <w:p w:rsidR="002B3815" w:rsidRDefault="002B3815">
            <w:pPr>
              <w:jc w:val="left"/>
              <w:rPr>
                <w:sz w:val="16"/>
              </w:rPr>
            </w:pPr>
          </w:p>
        </w:tc>
        <w:tc>
          <w:tcPr>
            <w:tcW w:w="750" w:type="pct"/>
            <w:shd w:val="clear" w:color="auto" w:fill="FFFFFF"/>
            <w:tcMar>
              <w:top w:w="60" w:type="dxa"/>
            </w:tcMar>
          </w:tcPr>
          <w:p w:rsidR="002B3815" w:rsidRDefault="0099452B">
            <w:pPr>
              <w:jc w:val="left"/>
              <w:rPr>
                <w:sz w:val="16"/>
              </w:rPr>
            </w:pPr>
            <w:r>
              <w:rPr>
                <w:sz w:val="16"/>
              </w:rPr>
              <w:t>1441379298</w:t>
            </w:r>
          </w:p>
        </w:tc>
        <w:tc>
          <w:tcPr>
            <w:tcW w:w="750" w:type="pct"/>
            <w:shd w:val="clear" w:color="auto" w:fill="FFFFFF"/>
            <w:tcMar>
              <w:top w:w="60" w:type="dxa"/>
            </w:tcMar>
          </w:tcPr>
          <w:p w:rsidR="002B3815" w:rsidRDefault="0099452B">
            <w:pPr>
              <w:jc w:val="left"/>
              <w:rPr>
                <w:sz w:val="16"/>
              </w:rPr>
            </w:pPr>
            <w:r>
              <w:rPr>
                <w:sz w:val="16"/>
              </w:rPr>
              <w:t>Резюме за гражданите 2018</w:t>
            </w:r>
          </w:p>
        </w:tc>
        <w:tc>
          <w:tcPr>
            <w:tcW w:w="750" w:type="pct"/>
            <w:shd w:val="clear" w:color="auto" w:fill="FFFFFF"/>
            <w:tcMar>
              <w:top w:w="60" w:type="dxa"/>
            </w:tcMar>
          </w:tcPr>
          <w:p w:rsidR="002B3815" w:rsidRDefault="002B3815">
            <w:pPr>
              <w:jc w:val="left"/>
              <w:rPr>
                <w:sz w:val="16"/>
              </w:rPr>
            </w:pPr>
          </w:p>
        </w:tc>
        <w:tc>
          <w:tcPr>
            <w:tcW w:w="750" w:type="pct"/>
            <w:shd w:val="clear" w:color="auto" w:fill="FFFFFF"/>
            <w:tcMar>
              <w:top w:w="60" w:type="dxa"/>
            </w:tcMar>
          </w:tcPr>
          <w:p w:rsidR="002B3815" w:rsidRDefault="002B3815">
            <w:pPr>
              <w:jc w:val="left"/>
              <w:rPr>
                <w:sz w:val="16"/>
              </w:rPr>
            </w:pPr>
          </w:p>
        </w:tc>
      </w:tr>
    </w:tbl>
    <w:p w:rsidR="002B3815" w:rsidRDefault="002B3815">
      <w:pPr>
        <w:rPr>
          <w:b/>
        </w:rPr>
        <w:sectPr w:rsidR="002B3815">
          <w:pgSz w:w="15840" w:h="12240" w:orient="landscape"/>
          <w:pgMar w:top="900" w:right="900" w:bottom="900" w:left="900" w:header="720" w:footer="720" w:gutter="0"/>
          <w:cols w:space="720"/>
        </w:sectPr>
      </w:pPr>
    </w:p>
    <w:p w:rsidR="002B3815" w:rsidRDefault="002B3815">
      <w:pPr>
        <w:rPr>
          <w:b/>
        </w:rPr>
      </w:pPr>
    </w:p>
    <w:sectPr w:rsidR="002B3815">
      <w:pgSz w:w="15840" w:h="12240" w:orient="landscape"/>
      <w:pgMar w:top="900" w:right="900" w:bottom="900" w:left="9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452B" w:rsidRDefault="0099452B">
      <w:pPr>
        <w:spacing w:before="0" w:after="0"/>
      </w:pPr>
      <w:r>
        <w:separator/>
      </w:r>
    </w:p>
  </w:endnote>
  <w:endnote w:type="continuationSeparator" w:id="0">
    <w:p w:rsidR="0099452B" w:rsidRDefault="0099452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C24A586F-DC41-47FD-9969-90B244F4056C}"/>
  </w:font>
  <w:font w:name="Times New Roman">
    <w:panose1 w:val="02020603050405020304"/>
    <w:charset w:val="CC"/>
    <w:family w:val="roman"/>
    <w:pitch w:val="variable"/>
    <w:sig w:usb0="E0002AFF" w:usb1="C0007841" w:usb2="00000009" w:usb3="00000000" w:csb0="000001FF" w:csb1="00000000"/>
    <w:embedRegular r:id="rId2" w:fontKey="{7079033D-600D-44D7-9751-70761F5F8EE5}"/>
    <w:embedBold r:id="rId3" w:fontKey="{4475E416-1AEF-4ED7-82CC-F71E2817CBCF}"/>
    <w:embedItalic r:id="rId4" w:fontKey="{918BFD2C-DE34-45AF-8464-169BAFA958C2}"/>
    <w:embedBoldItalic r:id="rId5" w:fontKey="{92887DB1-DD47-4F6A-BE92-58B65F8E271F}"/>
  </w:font>
  <w:font w:name="Courier New">
    <w:panose1 w:val="02070309020205020404"/>
    <w:charset w:val="CC"/>
    <w:family w:val="modern"/>
    <w:pitch w:val="fixed"/>
    <w:sig w:usb0="E0002AFF" w:usb1="C0007843" w:usb2="00000009" w:usb3="00000000" w:csb0="000001FF" w:csb1="00000000"/>
    <w:embedRegular r:id="rId6" w:fontKey="{C4C6F212-9F11-4D00-A7AA-77C845F82174}"/>
  </w:font>
  <w:font w:name="Wingdings">
    <w:panose1 w:val="05000000000000000000"/>
    <w:charset w:val="02"/>
    <w:family w:val="auto"/>
    <w:pitch w:val="variable"/>
    <w:sig w:usb0="00000000" w:usb1="10000000" w:usb2="00000000" w:usb3="00000000" w:csb0="80000000" w:csb1="00000000"/>
    <w:embedRegular r:id="rId7" w:fontKey="{64306737-DA92-4626-A06E-1E15BB810046}"/>
  </w:font>
  <w:font w:name="Arial">
    <w:panose1 w:val="020B0604020202020204"/>
    <w:charset w:val="CC"/>
    <w:family w:val="swiss"/>
    <w:pitch w:val="variable"/>
    <w:sig w:usb0="E0002AFF" w:usb1="C0007843" w:usb2="00000009" w:usb3="00000000" w:csb0="000001FF" w:csb1="00000000"/>
    <w:embedRegular r:id="rId8" w:fontKey="{5F001276-0F8E-4FBD-AEAE-E9B08EB88500}"/>
    <w:embedBold r:id="rId9" w:fontKey="{6671573B-3FC0-479A-A8B3-A930F8D39B90}"/>
    <w:embedItalic r:id="rId10" w:fontKey="{BB8EAA13-3778-4DF3-961F-7CB6E1CBA51C}"/>
  </w:font>
  <w:font w:name="Calibri">
    <w:panose1 w:val="020F0502020204030204"/>
    <w:charset w:val="CC"/>
    <w:family w:val="swiss"/>
    <w:pitch w:val="variable"/>
    <w:sig w:usb0="E00002FF" w:usb1="4000ACFF" w:usb2="00000001" w:usb3="00000000" w:csb0="0000019F" w:csb1="00000000"/>
    <w:embedRegular r:id="rId11" w:fontKey="{AD44F3DB-C5DA-492D-9FC8-11818CB53C0E}"/>
    <w:embedBold r:id="rId12" w:fontKey="{43D0E9F0-F756-4565-9ABE-61C97D84BC7C}"/>
  </w:font>
  <w:font w:name="Tahoma">
    <w:panose1 w:val="020B0604030504040204"/>
    <w:charset w:val="CC"/>
    <w:family w:val="swiss"/>
    <w:pitch w:val="variable"/>
    <w:sig w:usb0="E1002EFF" w:usb1="C000605B" w:usb2="00000029" w:usb3="00000000" w:csb0="000101FF" w:csb1="00000000"/>
    <w:embedRegular r:id="rId13" w:fontKey="{4BF8FA15-85CF-4877-BB9E-911334A3FDFA}"/>
  </w:font>
  <w:font w:name="Cambria">
    <w:panose1 w:val="02040503050406030204"/>
    <w:charset w:val="CC"/>
    <w:family w:val="roman"/>
    <w:pitch w:val="variable"/>
    <w:sig w:usb0="E00002FF" w:usb1="400004FF" w:usb2="00000000" w:usb3="00000000" w:csb0="0000019F" w:csb1="00000000"/>
    <w:embedRegular r:id="rId14" w:fontKey="{127D4680-329C-4B86-BA86-151D0CDCD3F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Default="0099452B">
    <w:pPr>
      <w:pStyle w:val="Footer"/>
      <w:jc w:val="center"/>
    </w:pPr>
    <w:r>
      <w:fldChar w:fldCharType="begin"/>
    </w:r>
    <w:r>
      <w:instrText>PAGE</w:instrText>
    </w:r>
    <w:r>
      <w:fldChar w:fldCharType="separate"/>
    </w:r>
    <w:r w:rsidR="00C7787F">
      <w:rPr>
        <w:noProof/>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Default="0099452B">
    <w:pPr>
      <w:pStyle w:val="Footer"/>
      <w:jc w:val="center"/>
    </w:pPr>
    <w:r>
      <w:fldChar w:fldCharType="begin"/>
    </w:r>
    <w:r>
      <w:instrText xml:space="preserve"> PAGE   \* MERGEFORMAT </w:instrText>
    </w:r>
    <w:r>
      <w:fldChar w:fldCharType="separate"/>
    </w:r>
    <w:r w:rsidR="00ED13A4">
      <w:rPr>
        <w:noProof/>
      </w:rPr>
      <w:t>1</w:t>
    </w:r>
    <w:r>
      <w:rPr>
        <w:noProof/>
      </w:rPr>
      <w:fldChar w:fldCharType="end"/>
    </w:r>
  </w:p>
  <w:p w:rsidR="00B21E0A" w:rsidRDefault="00B21E0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452B" w:rsidRDefault="0099452B">
      <w:pPr>
        <w:spacing w:before="0" w:after="0"/>
      </w:pPr>
      <w:r>
        <w:separator/>
      </w:r>
    </w:p>
  </w:footnote>
  <w:footnote w:type="continuationSeparator" w:id="0">
    <w:p w:rsidR="0099452B" w:rsidRDefault="0099452B">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Pr="004551CD" w:rsidRDefault="00B21E0A">
    <w:pPr>
      <w:pStyle w:val="Header"/>
      <w:spacing w:after="0"/>
      <w:rPr>
        <w:lang w:val="fr-B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C23052C8"/>
    <w:lvl w:ilvl="0">
      <w:start w:val="1"/>
      <w:numFmt w:val="decimal"/>
      <w:pStyle w:val="Heading1"/>
      <w:suff w:val="space"/>
      <w:lvlText w:val="%1."/>
      <w:lvlJc w:val="left"/>
      <w:pPr>
        <w:ind w:left="0" w:firstLine="0"/>
      </w:pPr>
      <w:rPr>
        <w:rFonts w:hint="default"/>
      </w:rPr>
    </w:lvl>
    <w:lvl w:ilvl="1">
      <w:start w:val="1"/>
      <w:numFmt w:val="lowerLetter"/>
      <w:pStyle w:val="Heading2"/>
      <w:suff w:val="space"/>
      <w:lvlText w:val="%1.%2)"/>
      <w:lvlJc w:val="left"/>
      <w:pPr>
        <w:ind w:left="993"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lowerLetter"/>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lowerLetter"/>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lowerLetter"/>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993"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7">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8">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9">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0">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1">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722304D8"/>
    <w:multiLevelType w:val="hybridMultilevel"/>
    <w:tmpl w:val="722304D8"/>
    <w:lvl w:ilvl="0" w:tplc="A0128298">
      <w:start w:val="1"/>
      <w:numFmt w:val="bullet"/>
      <w:lvlText w:val=""/>
      <w:lvlJc w:val="left"/>
      <w:pPr>
        <w:ind w:left="720" w:hanging="360"/>
      </w:pPr>
      <w:rPr>
        <w:rFonts w:ascii="Symbol" w:hAnsi="Symbol"/>
      </w:rPr>
    </w:lvl>
    <w:lvl w:ilvl="1" w:tplc="6178C536">
      <w:start w:val="1"/>
      <w:numFmt w:val="bullet"/>
      <w:lvlText w:val="o"/>
      <w:lvlJc w:val="left"/>
      <w:pPr>
        <w:tabs>
          <w:tab w:val="num" w:pos="1440"/>
        </w:tabs>
        <w:ind w:left="1440" w:hanging="360"/>
      </w:pPr>
      <w:rPr>
        <w:rFonts w:ascii="Courier New" w:hAnsi="Courier New"/>
      </w:rPr>
    </w:lvl>
    <w:lvl w:ilvl="2" w:tplc="1BDADBAC">
      <w:start w:val="1"/>
      <w:numFmt w:val="bullet"/>
      <w:lvlText w:val=""/>
      <w:lvlJc w:val="left"/>
      <w:pPr>
        <w:tabs>
          <w:tab w:val="num" w:pos="2160"/>
        </w:tabs>
        <w:ind w:left="2160" w:hanging="360"/>
      </w:pPr>
      <w:rPr>
        <w:rFonts w:ascii="Wingdings" w:hAnsi="Wingdings"/>
      </w:rPr>
    </w:lvl>
    <w:lvl w:ilvl="3" w:tplc="F30CADE8">
      <w:start w:val="1"/>
      <w:numFmt w:val="bullet"/>
      <w:lvlText w:val=""/>
      <w:lvlJc w:val="left"/>
      <w:pPr>
        <w:tabs>
          <w:tab w:val="num" w:pos="2880"/>
        </w:tabs>
        <w:ind w:left="2880" w:hanging="360"/>
      </w:pPr>
      <w:rPr>
        <w:rFonts w:ascii="Symbol" w:hAnsi="Symbol"/>
      </w:rPr>
    </w:lvl>
    <w:lvl w:ilvl="4" w:tplc="3CA85EF0">
      <w:start w:val="1"/>
      <w:numFmt w:val="bullet"/>
      <w:lvlText w:val="o"/>
      <w:lvlJc w:val="left"/>
      <w:pPr>
        <w:tabs>
          <w:tab w:val="num" w:pos="3600"/>
        </w:tabs>
        <w:ind w:left="3600" w:hanging="360"/>
      </w:pPr>
      <w:rPr>
        <w:rFonts w:ascii="Courier New" w:hAnsi="Courier New"/>
      </w:rPr>
    </w:lvl>
    <w:lvl w:ilvl="5" w:tplc="8CDE8308">
      <w:start w:val="1"/>
      <w:numFmt w:val="bullet"/>
      <w:lvlText w:val=""/>
      <w:lvlJc w:val="left"/>
      <w:pPr>
        <w:tabs>
          <w:tab w:val="num" w:pos="4320"/>
        </w:tabs>
        <w:ind w:left="4320" w:hanging="360"/>
      </w:pPr>
      <w:rPr>
        <w:rFonts w:ascii="Wingdings" w:hAnsi="Wingdings"/>
      </w:rPr>
    </w:lvl>
    <w:lvl w:ilvl="6" w:tplc="3BF0D1D8">
      <w:start w:val="1"/>
      <w:numFmt w:val="bullet"/>
      <w:lvlText w:val=""/>
      <w:lvlJc w:val="left"/>
      <w:pPr>
        <w:tabs>
          <w:tab w:val="num" w:pos="5040"/>
        </w:tabs>
        <w:ind w:left="5040" w:hanging="360"/>
      </w:pPr>
      <w:rPr>
        <w:rFonts w:ascii="Symbol" w:hAnsi="Symbol"/>
      </w:rPr>
    </w:lvl>
    <w:lvl w:ilvl="7" w:tplc="0B80AB7E">
      <w:start w:val="1"/>
      <w:numFmt w:val="bullet"/>
      <w:lvlText w:val="o"/>
      <w:lvlJc w:val="left"/>
      <w:pPr>
        <w:tabs>
          <w:tab w:val="num" w:pos="5760"/>
        </w:tabs>
        <w:ind w:left="5760" w:hanging="360"/>
      </w:pPr>
      <w:rPr>
        <w:rFonts w:ascii="Courier New" w:hAnsi="Courier New"/>
      </w:rPr>
    </w:lvl>
    <w:lvl w:ilvl="8" w:tplc="741EFF72">
      <w:start w:val="1"/>
      <w:numFmt w:val="bullet"/>
      <w:lvlText w:val=""/>
      <w:lvlJc w:val="left"/>
      <w:pPr>
        <w:tabs>
          <w:tab w:val="num" w:pos="6480"/>
        </w:tabs>
        <w:ind w:left="6480" w:hanging="360"/>
      </w:pPr>
      <w:rPr>
        <w:rFonts w:ascii="Wingdings" w:hAnsi="Wingdings"/>
      </w:rPr>
    </w:lvl>
  </w:abstractNum>
  <w:abstractNum w:abstractNumId="23">
    <w:nsid w:val="722304D9"/>
    <w:multiLevelType w:val="hybridMultilevel"/>
    <w:tmpl w:val="722304D9"/>
    <w:lvl w:ilvl="0" w:tplc="DE841F52">
      <w:start w:val="1"/>
      <w:numFmt w:val="bullet"/>
      <w:lvlText w:val=""/>
      <w:lvlJc w:val="left"/>
      <w:pPr>
        <w:ind w:left="720" w:hanging="360"/>
      </w:pPr>
      <w:rPr>
        <w:rFonts w:ascii="Symbol" w:hAnsi="Symbol"/>
      </w:rPr>
    </w:lvl>
    <w:lvl w:ilvl="1" w:tplc="178E21E8">
      <w:start w:val="1"/>
      <w:numFmt w:val="bullet"/>
      <w:lvlText w:val="o"/>
      <w:lvlJc w:val="left"/>
      <w:pPr>
        <w:tabs>
          <w:tab w:val="num" w:pos="1440"/>
        </w:tabs>
        <w:ind w:left="1440" w:hanging="360"/>
      </w:pPr>
      <w:rPr>
        <w:rFonts w:ascii="Courier New" w:hAnsi="Courier New"/>
      </w:rPr>
    </w:lvl>
    <w:lvl w:ilvl="2" w:tplc="38F09752">
      <w:start w:val="1"/>
      <w:numFmt w:val="bullet"/>
      <w:lvlText w:val=""/>
      <w:lvlJc w:val="left"/>
      <w:pPr>
        <w:tabs>
          <w:tab w:val="num" w:pos="2160"/>
        </w:tabs>
        <w:ind w:left="2160" w:hanging="360"/>
      </w:pPr>
      <w:rPr>
        <w:rFonts w:ascii="Wingdings" w:hAnsi="Wingdings"/>
      </w:rPr>
    </w:lvl>
    <w:lvl w:ilvl="3" w:tplc="8B42D6A4">
      <w:start w:val="1"/>
      <w:numFmt w:val="bullet"/>
      <w:lvlText w:val=""/>
      <w:lvlJc w:val="left"/>
      <w:pPr>
        <w:tabs>
          <w:tab w:val="num" w:pos="2880"/>
        </w:tabs>
        <w:ind w:left="2880" w:hanging="360"/>
      </w:pPr>
      <w:rPr>
        <w:rFonts w:ascii="Symbol" w:hAnsi="Symbol"/>
      </w:rPr>
    </w:lvl>
    <w:lvl w:ilvl="4" w:tplc="01BAA47A">
      <w:start w:val="1"/>
      <w:numFmt w:val="bullet"/>
      <w:lvlText w:val="o"/>
      <w:lvlJc w:val="left"/>
      <w:pPr>
        <w:tabs>
          <w:tab w:val="num" w:pos="3600"/>
        </w:tabs>
        <w:ind w:left="3600" w:hanging="360"/>
      </w:pPr>
      <w:rPr>
        <w:rFonts w:ascii="Courier New" w:hAnsi="Courier New"/>
      </w:rPr>
    </w:lvl>
    <w:lvl w:ilvl="5" w:tplc="4B7E7268">
      <w:start w:val="1"/>
      <w:numFmt w:val="bullet"/>
      <w:lvlText w:val=""/>
      <w:lvlJc w:val="left"/>
      <w:pPr>
        <w:tabs>
          <w:tab w:val="num" w:pos="4320"/>
        </w:tabs>
        <w:ind w:left="4320" w:hanging="360"/>
      </w:pPr>
      <w:rPr>
        <w:rFonts w:ascii="Wingdings" w:hAnsi="Wingdings"/>
      </w:rPr>
    </w:lvl>
    <w:lvl w:ilvl="6" w:tplc="5D9487F4">
      <w:start w:val="1"/>
      <w:numFmt w:val="bullet"/>
      <w:lvlText w:val=""/>
      <w:lvlJc w:val="left"/>
      <w:pPr>
        <w:tabs>
          <w:tab w:val="num" w:pos="5040"/>
        </w:tabs>
        <w:ind w:left="5040" w:hanging="360"/>
      </w:pPr>
      <w:rPr>
        <w:rFonts w:ascii="Symbol" w:hAnsi="Symbol"/>
      </w:rPr>
    </w:lvl>
    <w:lvl w:ilvl="7" w:tplc="0DB40F96">
      <w:start w:val="1"/>
      <w:numFmt w:val="bullet"/>
      <w:lvlText w:val="o"/>
      <w:lvlJc w:val="left"/>
      <w:pPr>
        <w:tabs>
          <w:tab w:val="num" w:pos="5760"/>
        </w:tabs>
        <w:ind w:left="5760" w:hanging="360"/>
      </w:pPr>
      <w:rPr>
        <w:rFonts w:ascii="Courier New" w:hAnsi="Courier New"/>
      </w:rPr>
    </w:lvl>
    <w:lvl w:ilvl="8" w:tplc="479A2BDA">
      <w:start w:val="1"/>
      <w:numFmt w:val="bullet"/>
      <w:lvlText w:val=""/>
      <w:lvlJc w:val="left"/>
      <w:pPr>
        <w:tabs>
          <w:tab w:val="num" w:pos="6480"/>
        </w:tabs>
        <w:ind w:left="6480" w:hanging="360"/>
      </w:pPr>
      <w:rPr>
        <w:rFonts w:ascii="Wingdings" w:hAnsi="Wingdings"/>
      </w:rPr>
    </w:lvl>
  </w:abstractNum>
  <w:abstractNum w:abstractNumId="24">
    <w:nsid w:val="722304DA"/>
    <w:multiLevelType w:val="hybridMultilevel"/>
    <w:tmpl w:val="722304DA"/>
    <w:lvl w:ilvl="0" w:tplc="3D16FE9A">
      <w:start w:val="1"/>
      <w:numFmt w:val="bullet"/>
      <w:lvlText w:val=""/>
      <w:lvlJc w:val="left"/>
      <w:pPr>
        <w:ind w:left="720" w:hanging="360"/>
      </w:pPr>
      <w:rPr>
        <w:rFonts w:ascii="Symbol" w:hAnsi="Symbol"/>
      </w:rPr>
    </w:lvl>
    <w:lvl w:ilvl="1" w:tplc="F09C58A8">
      <w:start w:val="1"/>
      <w:numFmt w:val="bullet"/>
      <w:lvlText w:val="o"/>
      <w:lvlJc w:val="left"/>
      <w:pPr>
        <w:tabs>
          <w:tab w:val="num" w:pos="1440"/>
        </w:tabs>
        <w:ind w:left="1440" w:hanging="360"/>
      </w:pPr>
      <w:rPr>
        <w:rFonts w:ascii="Courier New" w:hAnsi="Courier New"/>
      </w:rPr>
    </w:lvl>
    <w:lvl w:ilvl="2" w:tplc="96EA126C">
      <w:start w:val="1"/>
      <w:numFmt w:val="bullet"/>
      <w:lvlText w:val=""/>
      <w:lvlJc w:val="left"/>
      <w:pPr>
        <w:tabs>
          <w:tab w:val="num" w:pos="2160"/>
        </w:tabs>
        <w:ind w:left="2160" w:hanging="360"/>
      </w:pPr>
      <w:rPr>
        <w:rFonts w:ascii="Wingdings" w:hAnsi="Wingdings"/>
      </w:rPr>
    </w:lvl>
    <w:lvl w:ilvl="3" w:tplc="06EC0F22">
      <w:start w:val="1"/>
      <w:numFmt w:val="bullet"/>
      <w:lvlText w:val=""/>
      <w:lvlJc w:val="left"/>
      <w:pPr>
        <w:tabs>
          <w:tab w:val="num" w:pos="2880"/>
        </w:tabs>
        <w:ind w:left="2880" w:hanging="360"/>
      </w:pPr>
      <w:rPr>
        <w:rFonts w:ascii="Symbol" w:hAnsi="Symbol"/>
      </w:rPr>
    </w:lvl>
    <w:lvl w:ilvl="4" w:tplc="EF0672D8">
      <w:start w:val="1"/>
      <w:numFmt w:val="bullet"/>
      <w:lvlText w:val="o"/>
      <w:lvlJc w:val="left"/>
      <w:pPr>
        <w:tabs>
          <w:tab w:val="num" w:pos="3600"/>
        </w:tabs>
        <w:ind w:left="3600" w:hanging="360"/>
      </w:pPr>
      <w:rPr>
        <w:rFonts w:ascii="Courier New" w:hAnsi="Courier New"/>
      </w:rPr>
    </w:lvl>
    <w:lvl w:ilvl="5" w:tplc="588678B8">
      <w:start w:val="1"/>
      <w:numFmt w:val="bullet"/>
      <w:lvlText w:val=""/>
      <w:lvlJc w:val="left"/>
      <w:pPr>
        <w:tabs>
          <w:tab w:val="num" w:pos="4320"/>
        </w:tabs>
        <w:ind w:left="4320" w:hanging="360"/>
      </w:pPr>
      <w:rPr>
        <w:rFonts w:ascii="Wingdings" w:hAnsi="Wingdings"/>
      </w:rPr>
    </w:lvl>
    <w:lvl w:ilvl="6" w:tplc="C3DA3DE0">
      <w:start w:val="1"/>
      <w:numFmt w:val="bullet"/>
      <w:lvlText w:val=""/>
      <w:lvlJc w:val="left"/>
      <w:pPr>
        <w:tabs>
          <w:tab w:val="num" w:pos="5040"/>
        </w:tabs>
        <w:ind w:left="5040" w:hanging="360"/>
      </w:pPr>
      <w:rPr>
        <w:rFonts w:ascii="Symbol" w:hAnsi="Symbol"/>
      </w:rPr>
    </w:lvl>
    <w:lvl w:ilvl="7" w:tplc="0436E63A">
      <w:start w:val="1"/>
      <w:numFmt w:val="bullet"/>
      <w:lvlText w:val="o"/>
      <w:lvlJc w:val="left"/>
      <w:pPr>
        <w:tabs>
          <w:tab w:val="num" w:pos="5760"/>
        </w:tabs>
        <w:ind w:left="5760" w:hanging="360"/>
      </w:pPr>
      <w:rPr>
        <w:rFonts w:ascii="Courier New" w:hAnsi="Courier New"/>
      </w:rPr>
    </w:lvl>
    <w:lvl w:ilvl="8" w:tplc="E2AA4C2A">
      <w:start w:val="1"/>
      <w:numFmt w:val="bullet"/>
      <w:lvlText w:val=""/>
      <w:lvlJc w:val="left"/>
      <w:pPr>
        <w:tabs>
          <w:tab w:val="num" w:pos="6480"/>
        </w:tabs>
        <w:ind w:left="6480" w:hanging="360"/>
      </w:pPr>
      <w:rPr>
        <w:rFonts w:ascii="Wingdings" w:hAnsi="Wingdings"/>
      </w:rPr>
    </w:lvl>
  </w:abstractNum>
  <w:abstractNum w:abstractNumId="25">
    <w:nsid w:val="722304DB"/>
    <w:multiLevelType w:val="hybridMultilevel"/>
    <w:tmpl w:val="722304DB"/>
    <w:lvl w:ilvl="0" w:tplc="492EEA38">
      <w:start w:val="1"/>
      <w:numFmt w:val="bullet"/>
      <w:lvlText w:val=""/>
      <w:lvlJc w:val="left"/>
      <w:pPr>
        <w:ind w:left="720" w:hanging="360"/>
      </w:pPr>
      <w:rPr>
        <w:rFonts w:ascii="Symbol" w:hAnsi="Symbol"/>
      </w:rPr>
    </w:lvl>
    <w:lvl w:ilvl="1" w:tplc="E902B884">
      <w:start w:val="1"/>
      <w:numFmt w:val="bullet"/>
      <w:lvlText w:val="o"/>
      <w:lvlJc w:val="left"/>
      <w:pPr>
        <w:tabs>
          <w:tab w:val="num" w:pos="1440"/>
        </w:tabs>
        <w:ind w:left="1440" w:hanging="360"/>
      </w:pPr>
      <w:rPr>
        <w:rFonts w:ascii="Courier New" w:hAnsi="Courier New"/>
      </w:rPr>
    </w:lvl>
    <w:lvl w:ilvl="2" w:tplc="2AC4EC56">
      <w:start w:val="1"/>
      <w:numFmt w:val="bullet"/>
      <w:lvlText w:val=""/>
      <w:lvlJc w:val="left"/>
      <w:pPr>
        <w:tabs>
          <w:tab w:val="num" w:pos="2160"/>
        </w:tabs>
        <w:ind w:left="2160" w:hanging="360"/>
      </w:pPr>
      <w:rPr>
        <w:rFonts w:ascii="Wingdings" w:hAnsi="Wingdings"/>
      </w:rPr>
    </w:lvl>
    <w:lvl w:ilvl="3" w:tplc="55A61BA0">
      <w:start w:val="1"/>
      <w:numFmt w:val="bullet"/>
      <w:lvlText w:val=""/>
      <w:lvlJc w:val="left"/>
      <w:pPr>
        <w:tabs>
          <w:tab w:val="num" w:pos="2880"/>
        </w:tabs>
        <w:ind w:left="2880" w:hanging="360"/>
      </w:pPr>
      <w:rPr>
        <w:rFonts w:ascii="Symbol" w:hAnsi="Symbol"/>
      </w:rPr>
    </w:lvl>
    <w:lvl w:ilvl="4" w:tplc="4E080232">
      <w:start w:val="1"/>
      <w:numFmt w:val="bullet"/>
      <w:lvlText w:val="o"/>
      <w:lvlJc w:val="left"/>
      <w:pPr>
        <w:tabs>
          <w:tab w:val="num" w:pos="3600"/>
        </w:tabs>
        <w:ind w:left="3600" w:hanging="360"/>
      </w:pPr>
      <w:rPr>
        <w:rFonts w:ascii="Courier New" w:hAnsi="Courier New"/>
      </w:rPr>
    </w:lvl>
    <w:lvl w:ilvl="5" w:tplc="8A02EC18">
      <w:start w:val="1"/>
      <w:numFmt w:val="bullet"/>
      <w:lvlText w:val=""/>
      <w:lvlJc w:val="left"/>
      <w:pPr>
        <w:tabs>
          <w:tab w:val="num" w:pos="4320"/>
        </w:tabs>
        <w:ind w:left="4320" w:hanging="360"/>
      </w:pPr>
      <w:rPr>
        <w:rFonts w:ascii="Wingdings" w:hAnsi="Wingdings"/>
      </w:rPr>
    </w:lvl>
    <w:lvl w:ilvl="6" w:tplc="E124C660">
      <w:start w:val="1"/>
      <w:numFmt w:val="bullet"/>
      <w:lvlText w:val=""/>
      <w:lvlJc w:val="left"/>
      <w:pPr>
        <w:tabs>
          <w:tab w:val="num" w:pos="5040"/>
        </w:tabs>
        <w:ind w:left="5040" w:hanging="360"/>
      </w:pPr>
      <w:rPr>
        <w:rFonts w:ascii="Symbol" w:hAnsi="Symbol"/>
      </w:rPr>
    </w:lvl>
    <w:lvl w:ilvl="7" w:tplc="EF74D2B8">
      <w:start w:val="1"/>
      <w:numFmt w:val="bullet"/>
      <w:lvlText w:val="o"/>
      <w:lvlJc w:val="left"/>
      <w:pPr>
        <w:tabs>
          <w:tab w:val="num" w:pos="5760"/>
        </w:tabs>
        <w:ind w:left="5760" w:hanging="360"/>
      </w:pPr>
      <w:rPr>
        <w:rFonts w:ascii="Courier New" w:hAnsi="Courier New"/>
      </w:rPr>
    </w:lvl>
    <w:lvl w:ilvl="8" w:tplc="76A63C4A">
      <w:start w:val="1"/>
      <w:numFmt w:val="bullet"/>
      <w:lvlText w:val=""/>
      <w:lvlJc w:val="left"/>
      <w:pPr>
        <w:tabs>
          <w:tab w:val="num" w:pos="6480"/>
        </w:tabs>
        <w:ind w:left="6480" w:hanging="360"/>
      </w:pPr>
      <w:rPr>
        <w:rFonts w:ascii="Wingdings" w:hAnsi="Wingdings"/>
      </w:rPr>
    </w:lvl>
  </w:abstractNum>
  <w:abstractNum w:abstractNumId="26">
    <w:nsid w:val="722304DC"/>
    <w:multiLevelType w:val="hybridMultilevel"/>
    <w:tmpl w:val="722304DC"/>
    <w:lvl w:ilvl="0" w:tplc="239A3476">
      <w:start w:val="1"/>
      <w:numFmt w:val="bullet"/>
      <w:lvlText w:val=""/>
      <w:lvlJc w:val="left"/>
      <w:pPr>
        <w:ind w:left="720" w:hanging="360"/>
      </w:pPr>
      <w:rPr>
        <w:rFonts w:ascii="Symbol" w:hAnsi="Symbol"/>
      </w:rPr>
    </w:lvl>
    <w:lvl w:ilvl="1" w:tplc="1298C8A0">
      <w:start w:val="1"/>
      <w:numFmt w:val="bullet"/>
      <w:lvlText w:val="o"/>
      <w:lvlJc w:val="left"/>
      <w:pPr>
        <w:tabs>
          <w:tab w:val="num" w:pos="1440"/>
        </w:tabs>
        <w:ind w:left="1440" w:hanging="360"/>
      </w:pPr>
      <w:rPr>
        <w:rFonts w:ascii="Courier New" w:hAnsi="Courier New"/>
      </w:rPr>
    </w:lvl>
    <w:lvl w:ilvl="2" w:tplc="45A673A8">
      <w:start w:val="1"/>
      <w:numFmt w:val="bullet"/>
      <w:lvlText w:val=""/>
      <w:lvlJc w:val="left"/>
      <w:pPr>
        <w:tabs>
          <w:tab w:val="num" w:pos="2160"/>
        </w:tabs>
        <w:ind w:left="2160" w:hanging="360"/>
      </w:pPr>
      <w:rPr>
        <w:rFonts w:ascii="Wingdings" w:hAnsi="Wingdings"/>
      </w:rPr>
    </w:lvl>
    <w:lvl w:ilvl="3" w:tplc="70B0B43A">
      <w:start w:val="1"/>
      <w:numFmt w:val="bullet"/>
      <w:lvlText w:val=""/>
      <w:lvlJc w:val="left"/>
      <w:pPr>
        <w:tabs>
          <w:tab w:val="num" w:pos="2880"/>
        </w:tabs>
        <w:ind w:left="2880" w:hanging="360"/>
      </w:pPr>
      <w:rPr>
        <w:rFonts w:ascii="Symbol" w:hAnsi="Symbol"/>
      </w:rPr>
    </w:lvl>
    <w:lvl w:ilvl="4" w:tplc="91C6FF28">
      <w:start w:val="1"/>
      <w:numFmt w:val="bullet"/>
      <w:lvlText w:val="o"/>
      <w:lvlJc w:val="left"/>
      <w:pPr>
        <w:tabs>
          <w:tab w:val="num" w:pos="3600"/>
        </w:tabs>
        <w:ind w:left="3600" w:hanging="360"/>
      </w:pPr>
      <w:rPr>
        <w:rFonts w:ascii="Courier New" w:hAnsi="Courier New"/>
      </w:rPr>
    </w:lvl>
    <w:lvl w:ilvl="5" w:tplc="3920E1AC">
      <w:start w:val="1"/>
      <w:numFmt w:val="bullet"/>
      <w:lvlText w:val=""/>
      <w:lvlJc w:val="left"/>
      <w:pPr>
        <w:tabs>
          <w:tab w:val="num" w:pos="4320"/>
        </w:tabs>
        <w:ind w:left="4320" w:hanging="360"/>
      </w:pPr>
      <w:rPr>
        <w:rFonts w:ascii="Wingdings" w:hAnsi="Wingdings"/>
      </w:rPr>
    </w:lvl>
    <w:lvl w:ilvl="6" w:tplc="3C1C8AFC">
      <w:start w:val="1"/>
      <w:numFmt w:val="bullet"/>
      <w:lvlText w:val=""/>
      <w:lvlJc w:val="left"/>
      <w:pPr>
        <w:tabs>
          <w:tab w:val="num" w:pos="5040"/>
        </w:tabs>
        <w:ind w:left="5040" w:hanging="360"/>
      </w:pPr>
      <w:rPr>
        <w:rFonts w:ascii="Symbol" w:hAnsi="Symbol"/>
      </w:rPr>
    </w:lvl>
    <w:lvl w:ilvl="7" w:tplc="81F07C92">
      <w:start w:val="1"/>
      <w:numFmt w:val="bullet"/>
      <w:lvlText w:val="o"/>
      <w:lvlJc w:val="left"/>
      <w:pPr>
        <w:tabs>
          <w:tab w:val="num" w:pos="5760"/>
        </w:tabs>
        <w:ind w:left="5760" w:hanging="360"/>
      </w:pPr>
      <w:rPr>
        <w:rFonts w:ascii="Courier New" w:hAnsi="Courier New"/>
      </w:rPr>
    </w:lvl>
    <w:lvl w:ilvl="8" w:tplc="7FFC892E">
      <w:start w:val="1"/>
      <w:numFmt w:val="bullet"/>
      <w:lvlText w:val=""/>
      <w:lvlJc w:val="left"/>
      <w:pPr>
        <w:tabs>
          <w:tab w:val="num" w:pos="6480"/>
        </w:tabs>
        <w:ind w:left="6480" w:hanging="360"/>
      </w:pPr>
      <w:rPr>
        <w:rFonts w:ascii="Wingdings" w:hAnsi="Wingdings"/>
      </w:rPr>
    </w:lvl>
  </w:abstractNum>
  <w:abstractNum w:abstractNumId="27">
    <w:nsid w:val="722304DD"/>
    <w:multiLevelType w:val="hybridMultilevel"/>
    <w:tmpl w:val="722304DD"/>
    <w:lvl w:ilvl="0" w:tplc="2E42F7DE">
      <w:start w:val="1"/>
      <w:numFmt w:val="bullet"/>
      <w:lvlText w:val=""/>
      <w:lvlJc w:val="left"/>
      <w:pPr>
        <w:ind w:left="720" w:hanging="360"/>
      </w:pPr>
      <w:rPr>
        <w:rFonts w:ascii="Symbol" w:hAnsi="Symbol"/>
      </w:rPr>
    </w:lvl>
    <w:lvl w:ilvl="1" w:tplc="A440DE9E">
      <w:start w:val="1"/>
      <w:numFmt w:val="bullet"/>
      <w:lvlText w:val="o"/>
      <w:lvlJc w:val="left"/>
      <w:pPr>
        <w:tabs>
          <w:tab w:val="num" w:pos="1440"/>
        </w:tabs>
        <w:ind w:left="1440" w:hanging="360"/>
      </w:pPr>
      <w:rPr>
        <w:rFonts w:ascii="Courier New" w:hAnsi="Courier New"/>
      </w:rPr>
    </w:lvl>
    <w:lvl w:ilvl="2" w:tplc="D1D2DEAA">
      <w:start w:val="1"/>
      <w:numFmt w:val="bullet"/>
      <w:lvlText w:val=""/>
      <w:lvlJc w:val="left"/>
      <w:pPr>
        <w:tabs>
          <w:tab w:val="num" w:pos="2160"/>
        </w:tabs>
        <w:ind w:left="2160" w:hanging="360"/>
      </w:pPr>
      <w:rPr>
        <w:rFonts w:ascii="Wingdings" w:hAnsi="Wingdings"/>
      </w:rPr>
    </w:lvl>
    <w:lvl w:ilvl="3" w:tplc="D73A5AEE">
      <w:start w:val="1"/>
      <w:numFmt w:val="bullet"/>
      <w:lvlText w:val=""/>
      <w:lvlJc w:val="left"/>
      <w:pPr>
        <w:tabs>
          <w:tab w:val="num" w:pos="2880"/>
        </w:tabs>
        <w:ind w:left="2880" w:hanging="360"/>
      </w:pPr>
      <w:rPr>
        <w:rFonts w:ascii="Symbol" w:hAnsi="Symbol"/>
      </w:rPr>
    </w:lvl>
    <w:lvl w:ilvl="4" w:tplc="B7CA55D4">
      <w:start w:val="1"/>
      <w:numFmt w:val="bullet"/>
      <w:lvlText w:val="o"/>
      <w:lvlJc w:val="left"/>
      <w:pPr>
        <w:tabs>
          <w:tab w:val="num" w:pos="3600"/>
        </w:tabs>
        <w:ind w:left="3600" w:hanging="360"/>
      </w:pPr>
      <w:rPr>
        <w:rFonts w:ascii="Courier New" w:hAnsi="Courier New"/>
      </w:rPr>
    </w:lvl>
    <w:lvl w:ilvl="5" w:tplc="30881DEA">
      <w:start w:val="1"/>
      <w:numFmt w:val="bullet"/>
      <w:lvlText w:val=""/>
      <w:lvlJc w:val="left"/>
      <w:pPr>
        <w:tabs>
          <w:tab w:val="num" w:pos="4320"/>
        </w:tabs>
        <w:ind w:left="4320" w:hanging="360"/>
      </w:pPr>
      <w:rPr>
        <w:rFonts w:ascii="Wingdings" w:hAnsi="Wingdings"/>
      </w:rPr>
    </w:lvl>
    <w:lvl w:ilvl="6" w:tplc="F4E20562">
      <w:start w:val="1"/>
      <w:numFmt w:val="bullet"/>
      <w:lvlText w:val=""/>
      <w:lvlJc w:val="left"/>
      <w:pPr>
        <w:tabs>
          <w:tab w:val="num" w:pos="5040"/>
        </w:tabs>
        <w:ind w:left="5040" w:hanging="360"/>
      </w:pPr>
      <w:rPr>
        <w:rFonts w:ascii="Symbol" w:hAnsi="Symbol"/>
      </w:rPr>
    </w:lvl>
    <w:lvl w:ilvl="7" w:tplc="BFA6E70E">
      <w:start w:val="1"/>
      <w:numFmt w:val="bullet"/>
      <w:lvlText w:val="o"/>
      <w:lvlJc w:val="left"/>
      <w:pPr>
        <w:tabs>
          <w:tab w:val="num" w:pos="5760"/>
        </w:tabs>
        <w:ind w:left="5760" w:hanging="360"/>
      </w:pPr>
      <w:rPr>
        <w:rFonts w:ascii="Courier New" w:hAnsi="Courier New"/>
      </w:rPr>
    </w:lvl>
    <w:lvl w:ilvl="8" w:tplc="CA863200">
      <w:start w:val="1"/>
      <w:numFmt w:val="bullet"/>
      <w:lvlText w:val=""/>
      <w:lvlJc w:val="left"/>
      <w:pPr>
        <w:tabs>
          <w:tab w:val="num" w:pos="6480"/>
        </w:tabs>
        <w:ind w:left="6480" w:hanging="360"/>
      </w:pPr>
      <w:rPr>
        <w:rFonts w:ascii="Wingdings" w:hAnsi="Wingdings"/>
      </w:rPr>
    </w:lvl>
  </w:abstractNum>
  <w:abstractNum w:abstractNumId="28">
    <w:nsid w:val="722304DE"/>
    <w:multiLevelType w:val="hybridMultilevel"/>
    <w:tmpl w:val="722304DE"/>
    <w:lvl w:ilvl="0" w:tplc="62140E86">
      <w:start w:val="1"/>
      <w:numFmt w:val="bullet"/>
      <w:lvlText w:val=""/>
      <w:lvlJc w:val="left"/>
      <w:pPr>
        <w:ind w:left="720" w:hanging="360"/>
      </w:pPr>
      <w:rPr>
        <w:rFonts w:ascii="Symbol" w:hAnsi="Symbol"/>
      </w:rPr>
    </w:lvl>
    <w:lvl w:ilvl="1" w:tplc="7F706CBE">
      <w:start w:val="1"/>
      <w:numFmt w:val="bullet"/>
      <w:lvlText w:val="o"/>
      <w:lvlJc w:val="left"/>
      <w:pPr>
        <w:tabs>
          <w:tab w:val="num" w:pos="1440"/>
        </w:tabs>
        <w:ind w:left="1440" w:hanging="360"/>
      </w:pPr>
      <w:rPr>
        <w:rFonts w:ascii="Courier New" w:hAnsi="Courier New"/>
      </w:rPr>
    </w:lvl>
    <w:lvl w:ilvl="2" w:tplc="245C56BE">
      <w:start w:val="1"/>
      <w:numFmt w:val="bullet"/>
      <w:lvlText w:val=""/>
      <w:lvlJc w:val="left"/>
      <w:pPr>
        <w:tabs>
          <w:tab w:val="num" w:pos="2160"/>
        </w:tabs>
        <w:ind w:left="2160" w:hanging="360"/>
      </w:pPr>
      <w:rPr>
        <w:rFonts w:ascii="Wingdings" w:hAnsi="Wingdings"/>
      </w:rPr>
    </w:lvl>
    <w:lvl w:ilvl="3" w:tplc="2D1CD15C">
      <w:start w:val="1"/>
      <w:numFmt w:val="bullet"/>
      <w:lvlText w:val=""/>
      <w:lvlJc w:val="left"/>
      <w:pPr>
        <w:tabs>
          <w:tab w:val="num" w:pos="2880"/>
        </w:tabs>
        <w:ind w:left="2880" w:hanging="360"/>
      </w:pPr>
      <w:rPr>
        <w:rFonts w:ascii="Symbol" w:hAnsi="Symbol"/>
      </w:rPr>
    </w:lvl>
    <w:lvl w:ilvl="4" w:tplc="5DA01F24">
      <w:start w:val="1"/>
      <w:numFmt w:val="bullet"/>
      <w:lvlText w:val="o"/>
      <w:lvlJc w:val="left"/>
      <w:pPr>
        <w:tabs>
          <w:tab w:val="num" w:pos="3600"/>
        </w:tabs>
        <w:ind w:left="3600" w:hanging="360"/>
      </w:pPr>
      <w:rPr>
        <w:rFonts w:ascii="Courier New" w:hAnsi="Courier New"/>
      </w:rPr>
    </w:lvl>
    <w:lvl w:ilvl="5" w:tplc="FCEA52EC">
      <w:start w:val="1"/>
      <w:numFmt w:val="bullet"/>
      <w:lvlText w:val=""/>
      <w:lvlJc w:val="left"/>
      <w:pPr>
        <w:tabs>
          <w:tab w:val="num" w:pos="4320"/>
        </w:tabs>
        <w:ind w:left="4320" w:hanging="360"/>
      </w:pPr>
      <w:rPr>
        <w:rFonts w:ascii="Wingdings" w:hAnsi="Wingdings"/>
      </w:rPr>
    </w:lvl>
    <w:lvl w:ilvl="6" w:tplc="C15676E4">
      <w:start w:val="1"/>
      <w:numFmt w:val="bullet"/>
      <w:lvlText w:val=""/>
      <w:lvlJc w:val="left"/>
      <w:pPr>
        <w:tabs>
          <w:tab w:val="num" w:pos="5040"/>
        </w:tabs>
        <w:ind w:left="5040" w:hanging="360"/>
      </w:pPr>
      <w:rPr>
        <w:rFonts w:ascii="Symbol" w:hAnsi="Symbol"/>
      </w:rPr>
    </w:lvl>
    <w:lvl w:ilvl="7" w:tplc="95F44FD6">
      <w:start w:val="1"/>
      <w:numFmt w:val="bullet"/>
      <w:lvlText w:val="o"/>
      <w:lvlJc w:val="left"/>
      <w:pPr>
        <w:tabs>
          <w:tab w:val="num" w:pos="5760"/>
        </w:tabs>
        <w:ind w:left="5760" w:hanging="360"/>
      </w:pPr>
      <w:rPr>
        <w:rFonts w:ascii="Courier New" w:hAnsi="Courier New"/>
      </w:rPr>
    </w:lvl>
    <w:lvl w:ilvl="8" w:tplc="1A405BB6">
      <w:start w:val="1"/>
      <w:numFmt w:val="bullet"/>
      <w:lvlText w:val=""/>
      <w:lvlJc w:val="left"/>
      <w:pPr>
        <w:tabs>
          <w:tab w:val="num" w:pos="6480"/>
        </w:tabs>
        <w:ind w:left="6480" w:hanging="360"/>
      </w:pPr>
      <w:rPr>
        <w:rFonts w:ascii="Wingdings" w:hAnsi="Wingdings"/>
      </w:rPr>
    </w:lvl>
  </w:abstractNum>
  <w:abstractNum w:abstractNumId="29">
    <w:nsid w:val="722304DF"/>
    <w:multiLevelType w:val="hybridMultilevel"/>
    <w:tmpl w:val="722304DF"/>
    <w:lvl w:ilvl="0" w:tplc="9D08C064">
      <w:start w:val="1"/>
      <w:numFmt w:val="bullet"/>
      <w:lvlText w:val=""/>
      <w:lvlJc w:val="left"/>
      <w:pPr>
        <w:ind w:left="720" w:hanging="360"/>
      </w:pPr>
      <w:rPr>
        <w:rFonts w:ascii="Symbol" w:hAnsi="Symbol"/>
      </w:rPr>
    </w:lvl>
    <w:lvl w:ilvl="1" w:tplc="5058D336">
      <w:start w:val="1"/>
      <w:numFmt w:val="bullet"/>
      <w:lvlText w:val="o"/>
      <w:lvlJc w:val="left"/>
      <w:pPr>
        <w:tabs>
          <w:tab w:val="num" w:pos="1440"/>
        </w:tabs>
        <w:ind w:left="1440" w:hanging="360"/>
      </w:pPr>
      <w:rPr>
        <w:rFonts w:ascii="Courier New" w:hAnsi="Courier New"/>
      </w:rPr>
    </w:lvl>
    <w:lvl w:ilvl="2" w:tplc="4768D522">
      <w:start w:val="1"/>
      <w:numFmt w:val="bullet"/>
      <w:lvlText w:val=""/>
      <w:lvlJc w:val="left"/>
      <w:pPr>
        <w:tabs>
          <w:tab w:val="num" w:pos="2160"/>
        </w:tabs>
        <w:ind w:left="2160" w:hanging="360"/>
      </w:pPr>
      <w:rPr>
        <w:rFonts w:ascii="Wingdings" w:hAnsi="Wingdings"/>
      </w:rPr>
    </w:lvl>
    <w:lvl w:ilvl="3" w:tplc="37DA2450">
      <w:start w:val="1"/>
      <w:numFmt w:val="bullet"/>
      <w:lvlText w:val=""/>
      <w:lvlJc w:val="left"/>
      <w:pPr>
        <w:tabs>
          <w:tab w:val="num" w:pos="2880"/>
        </w:tabs>
        <w:ind w:left="2880" w:hanging="360"/>
      </w:pPr>
      <w:rPr>
        <w:rFonts w:ascii="Symbol" w:hAnsi="Symbol"/>
      </w:rPr>
    </w:lvl>
    <w:lvl w:ilvl="4" w:tplc="9AD20A58">
      <w:start w:val="1"/>
      <w:numFmt w:val="bullet"/>
      <w:lvlText w:val="o"/>
      <w:lvlJc w:val="left"/>
      <w:pPr>
        <w:tabs>
          <w:tab w:val="num" w:pos="3600"/>
        </w:tabs>
        <w:ind w:left="3600" w:hanging="360"/>
      </w:pPr>
      <w:rPr>
        <w:rFonts w:ascii="Courier New" w:hAnsi="Courier New"/>
      </w:rPr>
    </w:lvl>
    <w:lvl w:ilvl="5" w:tplc="1CE618A0">
      <w:start w:val="1"/>
      <w:numFmt w:val="bullet"/>
      <w:lvlText w:val=""/>
      <w:lvlJc w:val="left"/>
      <w:pPr>
        <w:tabs>
          <w:tab w:val="num" w:pos="4320"/>
        </w:tabs>
        <w:ind w:left="4320" w:hanging="360"/>
      </w:pPr>
      <w:rPr>
        <w:rFonts w:ascii="Wingdings" w:hAnsi="Wingdings"/>
      </w:rPr>
    </w:lvl>
    <w:lvl w:ilvl="6" w:tplc="0A328C12">
      <w:start w:val="1"/>
      <w:numFmt w:val="bullet"/>
      <w:lvlText w:val=""/>
      <w:lvlJc w:val="left"/>
      <w:pPr>
        <w:tabs>
          <w:tab w:val="num" w:pos="5040"/>
        </w:tabs>
        <w:ind w:left="5040" w:hanging="360"/>
      </w:pPr>
      <w:rPr>
        <w:rFonts w:ascii="Symbol" w:hAnsi="Symbol"/>
      </w:rPr>
    </w:lvl>
    <w:lvl w:ilvl="7" w:tplc="2670FB6E">
      <w:start w:val="1"/>
      <w:numFmt w:val="bullet"/>
      <w:lvlText w:val="o"/>
      <w:lvlJc w:val="left"/>
      <w:pPr>
        <w:tabs>
          <w:tab w:val="num" w:pos="5760"/>
        </w:tabs>
        <w:ind w:left="5760" w:hanging="360"/>
      </w:pPr>
      <w:rPr>
        <w:rFonts w:ascii="Courier New" w:hAnsi="Courier New"/>
      </w:rPr>
    </w:lvl>
    <w:lvl w:ilvl="8" w:tplc="6B786B64">
      <w:start w:val="1"/>
      <w:numFmt w:val="bullet"/>
      <w:lvlText w:val=""/>
      <w:lvlJc w:val="left"/>
      <w:pPr>
        <w:tabs>
          <w:tab w:val="num" w:pos="6480"/>
        </w:tabs>
        <w:ind w:left="6480" w:hanging="360"/>
      </w:pPr>
      <w:rPr>
        <w:rFonts w:ascii="Wingdings" w:hAnsi="Wingdings"/>
      </w:rPr>
    </w:lvl>
  </w:abstractNum>
  <w:abstractNum w:abstractNumId="30">
    <w:nsid w:val="722304E0"/>
    <w:multiLevelType w:val="multilevel"/>
    <w:tmpl w:val="722304E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722304E1"/>
    <w:multiLevelType w:val="hybridMultilevel"/>
    <w:tmpl w:val="722304E1"/>
    <w:lvl w:ilvl="0" w:tplc="D0F87602">
      <w:start w:val="1"/>
      <w:numFmt w:val="bullet"/>
      <w:lvlText w:val=""/>
      <w:lvlJc w:val="left"/>
      <w:pPr>
        <w:ind w:left="720" w:hanging="360"/>
      </w:pPr>
      <w:rPr>
        <w:rFonts w:ascii="Symbol" w:hAnsi="Symbol"/>
      </w:rPr>
    </w:lvl>
    <w:lvl w:ilvl="1" w:tplc="9F34194A">
      <w:start w:val="1"/>
      <w:numFmt w:val="bullet"/>
      <w:lvlText w:val="o"/>
      <w:lvlJc w:val="left"/>
      <w:pPr>
        <w:tabs>
          <w:tab w:val="num" w:pos="1440"/>
        </w:tabs>
        <w:ind w:left="1440" w:hanging="360"/>
      </w:pPr>
      <w:rPr>
        <w:rFonts w:ascii="Courier New" w:hAnsi="Courier New"/>
      </w:rPr>
    </w:lvl>
    <w:lvl w:ilvl="2" w:tplc="99668358">
      <w:start w:val="1"/>
      <w:numFmt w:val="bullet"/>
      <w:lvlText w:val=""/>
      <w:lvlJc w:val="left"/>
      <w:pPr>
        <w:tabs>
          <w:tab w:val="num" w:pos="2160"/>
        </w:tabs>
        <w:ind w:left="2160" w:hanging="360"/>
      </w:pPr>
      <w:rPr>
        <w:rFonts w:ascii="Wingdings" w:hAnsi="Wingdings"/>
      </w:rPr>
    </w:lvl>
    <w:lvl w:ilvl="3" w:tplc="36BEA930">
      <w:start w:val="1"/>
      <w:numFmt w:val="bullet"/>
      <w:lvlText w:val=""/>
      <w:lvlJc w:val="left"/>
      <w:pPr>
        <w:tabs>
          <w:tab w:val="num" w:pos="2880"/>
        </w:tabs>
        <w:ind w:left="2880" w:hanging="360"/>
      </w:pPr>
      <w:rPr>
        <w:rFonts w:ascii="Symbol" w:hAnsi="Symbol"/>
      </w:rPr>
    </w:lvl>
    <w:lvl w:ilvl="4" w:tplc="226A9CF8">
      <w:start w:val="1"/>
      <w:numFmt w:val="bullet"/>
      <w:lvlText w:val="o"/>
      <w:lvlJc w:val="left"/>
      <w:pPr>
        <w:tabs>
          <w:tab w:val="num" w:pos="3600"/>
        </w:tabs>
        <w:ind w:left="3600" w:hanging="360"/>
      </w:pPr>
      <w:rPr>
        <w:rFonts w:ascii="Courier New" w:hAnsi="Courier New"/>
      </w:rPr>
    </w:lvl>
    <w:lvl w:ilvl="5" w:tplc="63FC4088">
      <w:start w:val="1"/>
      <w:numFmt w:val="bullet"/>
      <w:lvlText w:val=""/>
      <w:lvlJc w:val="left"/>
      <w:pPr>
        <w:tabs>
          <w:tab w:val="num" w:pos="4320"/>
        </w:tabs>
        <w:ind w:left="4320" w:hanging="360"/>
      </w:pPr>
      <w:rPr>
        <w:rFonts w:ascii="Wingdings" w:hAnsi="Wingdings"/>
      </w:rPr>
    </w:lvl>
    <w:lvl w:ilvl="6" w:tplc="32240066">
      <w:start w:val="1"/>
      <w:numFmt w:val="bullet"/>
      <w:lvlText w:val=""/>
      <w:lvlJc w:val="left"/>
      <w:pPr>
        <w:tabs>
          <w:tab w:val="num" w:pos="5040"/>
        </w:tabs>
        <w:ind w:left="5040" w:hanging="360"/>
      </w:pPr>
      <w:rPr>
        <w:rFonts w:ascii="Symbol" w:hAnsi="Symbol"/>
      </w:rPr>
    </w:lvl>
    <w:lvl w:ilvl="7" w:tplc="8970F0D2">
      <w:start w:val="1"/>
      <w:numFmt w:val="bullet"/>
      <w:lvlText w:val="o"/>
      <w:lvlJc w:val="left"/>
      <w:pPr>
        <w:tabs>
          <w:tab w:val="num" w:pos="5760"/>
        </w:tabs>
        <w:ind w:left="5760" w:hanging="360"/>
      </w:pPr>
      <w:rPr>
        <w:rFonts w:ascii="Courier New" w:hAnsi="Courier New"/>
      </w:rPr>
    </w:lvl>
    <w:lvl w:ilvl="8" w:tplc="30184DB6">
      <w:start w:val="1"/>
      <w:numFmt w:val="bullet"/>
      <w:lvlText w:val=""/>
      <w:lvlJc w:val="left"/>
      <w:pPr>
        <w:tabs>
          <w:tab w:val="num" w:pos="6480"/>
        </w:tabs>
        <w:ind w:left="6480" w:hanging="360"/>
      </w:pPr>
      <w:rPr>
        <w:rFonts w:ascii="Wingdings" w:hAnsi="Wingdings"/>
      </w:rPr>
    </w:lvl>
  </w:abstractNum>
  <w:abstractNum w:abstractNumId="32">
    <w:nsid w:val="722304E2"/>
    <w:multiLevelType w:val="hybridMultilevel"/>
    <w:tmpl w:val="722304E2"/>
    <w:lvl w:ilvl="0" w:tplc="0AE8ACDE">
      <w:start w:val="1"/>
      <w:numFmt w:val="bullet"/>
      <w:lvlText w:val=""/>
      <w:lvlJc w:val="left"/>
      <w:pPr>
        <w:ind w:left="720" w:hanging="360"/>
      </w:pPr>
      <w:rPr>
        <w:rFonts w:ascii="Symbol" w:hAnsi="Symbol"/>
      </w:rPr>
    </w:lvl>
    <w:lvl w:ilvl="1" w:tplc="57942BB6">
      <w:start w:val="1"/>
      <w:numFmt w:val="bullet"/>
      <w:lvlText w:val="o"/>
      <w:lvlJc w:val="left"/>
      <w:pPr>
        <w:tabs>
          <w:tab w:val="num" w:pos="1440"/>
        </w:tabs>
        <w:ind w:left="1440" w:hanging="360"/>
      </w:pPr>
      <w:rPr>
        <w:rFonts w:ascii="Courier New" w:hAnsi="Courier New"/>
      </w:rPr>
    </w:lvl>
    <w:lvl w:ilvl="2" w:tplc="2DDE0BC4">
      <w:start w:val="1"/>
      <w:numFmt w:val="bullet"/>
      <w:lvlText w:val=""/>
      <w:lvlJc w:val="left"/>
      <w:pPr>
        <w:tabs>
          <w:tab w:val="num" w:pos="2160"/>
        </w:tabs>
        <w:ind w:left="2160" w:hanging="360"/>
      </w:pPr>
      <w:rPr>
        <w:rFonts w:ascii="Wingdings" w:hAnsi="Wingdings"/>
      </w:rPr>
    </w:lvl>
    <w:lvl w:ilvl="3" w:tplc="CFE64AF8">
      <w:start w:val="1"/>
      <w:numFmt w:val="bullet"/>
      <w:lvlText w:val=""/>
      <w:lvlJc w:val="left"/>
      <w:pPr>
        <w:tabs>
          <w:tab w:val="num" w:pos="2880"/>
        </w:tabs>
        <w:ind w:left="2880" w:hanging="360"/>
      </w:pPr>
      <w:rPr>
        <w:rFonts w:ascii="Symbol" w:hAnsi="Symbol"/>
      </w:rPr>
    </w:lvl>
    <w:lvl w:ilvl="4" w:tplc="650605AC">
      <w:start w:val="1"/>
      <w:numFmt w:val="bullet"/>
      <w:lvlText w:val="o"/>
      <w:lvlJc w:val="left"/>
      <w:pPr>
        <w:tabs>
          <w:tab w:val="num" w:pos="3600"/>
        </w:tabs>
        <w:ind w:left="3600" w:hanging="360"/>
      </w:pPr>
      <w:rPr>
        <w:rFonts w:ascii="Courier New" w:hAnsi="Courier New"/>
      </w:rPr>
    </w:lvl>
    <w:lvl w:ilvl="5" w:tplc="05C22266">
      <w:start w:val="1"/>
      <w:numFmt w:val="bullet"/>
      <w:lvlText w:val=""/>
      <w:lvlJc w:val="left"/>
      <w:pPr>
        <w:tabs>
          <w:tab w:val="num" w:pos="4320"/>
        </w:tabs>
        <w:ind w:left="4320" w:hanging="360"/>
      </w:pPr>
      <w:rPr>
        <w:rFonts w:ascii="Wingdings" w:hAnsi="Wingdings"/>
      </w:rPr>
    </w:lvl>
    <w:lvl w:ilvl="6" w:tplc="3014E676">
      <w:start w:val="1"/>
      <w:numFmt w:val="bullet"/>
      <w:lvlText w:val=""/>
      <w:lvlJc w:val="left"/>
      <w:pPr>
        <w:tabs>
          <w:tab w:val="num" w:pos="5040"/>
        </w:tabs>
        <w:ind w:left="5040" w:hanging="360"/>
      </w:pPr>
      <w:rPr>
        <w:rFonts w:ascii="Symbol" w:hAnsi="Symbol"/>
      </w:rPr>
    </w:lvl>
    <w:lvl w:ilvl="7" w:tplc="E97CC082">
      <w:start w:val="1"/>
      <w:numFmt w:val="bullet"/>
      <w:lvlText w:val="o"/>
      <w:lvlJc w:val="left"/>
      <w:pPr>
        <w:tabs>
          <w:tab w:val="num" w:pos="5760"/>
        </w:tabs>
        <w:ind w:left="5760" w:hanging="360"/>
      </w:pPr>
      <w:rPr>
        <w:rFonts w:ascii="Courier New" w:hAnsi="Courier New"/>
      </w:rPr>
    </w:lvl>
    <w:lvl w:ilvl="8" w:tplc="AEB4D07A">
      <w:start w:val="1"/>
      <w:numFmt w:val="bullet"/>
      <w:lvlText w:val=""/>
      <w:lvlJc w:val="left"/>
      <w:pPr>
        <w:tabs>
          <w:tab w:val="num" w:pos="6480"/>
        </w:tabs>
        <w:ind w:left="6480" w:hanging="360"/>
      </w:pPr>
      <w:rPr>
        <w:rFonts w:ascii="Wingdings" w:hAnsi="Wingdings"/>
      </w:rPr>
    </w:lvl>
  </w:abstractNum>
  <w:abstractNum w:abstractNumId="33">
    <w:nsid w:val="722304E3"/>
    <w:multiLevelType w:val="hybridMultilevel"/>
    <w:tmpl w:val="722304E3"/>
    <w:lvl w:ilvl="0" w:tplc="FE803926">
      <w:start w:val="1"/>
      <w:numFmt w:val="bullet"/>
      <w:lvlText w:val=""/>
      <w:lvlJc w:val="left"/>
      <w:pPr>
        <w:ind w:left="720" w:hanging="360"/>
      </w:pPr>
      <w:rPr>
        <w:rFonts w:ascii="Symbol" w:hAnsi="Symbol"/>
      </w:rPr>
    </w:lvl>
    <w:lvl w:ilvl="1" w:tplc="B0F89EE6">
      <w:start w:val="1"/>
      <w:numFmt w:val="bullet"/>
      <w:lvlText w:val="o"/>
      <w:lvlJc w:val="left"/>
      <w:pPr>
        <w:tabs>
          <w:tab w:val="num" w:pos="1440"/>
        </w:tabs>
        <w:ind w:left="1440" w:hanging="360"/>
      </w:pPr>
      <w:rPr>
        <w:rFonts w:ascii="Courier New" w:hAnsi="Courier New"/>
      </w:rPr>
    </w:lvl>
    <w:lvl w:ilvl="2" w:tplc="5F526B22">
      <w:start w:val="1"/>
      <w:numFmt w:val="bullet"/>
      <w:lvlText w:val=""/>
      <w:lvlJc w:val="left"/>
      <w:pPr>
        <w:tabs>
          <w:tab w:val="num" w:pos="2160"/>
        </w:tabs>
        <w:ind w:left="2160" w:hanging="360"/>
      </w:pPr>
      <w:rPr>
        <w:rFonts w:ascii="Wingdings" w:hAnsi="Wingdings"/>
      </w:rPr>
    </w:lvl>
    <w:lvl w:ilvl="3" w:tplc="8D9652AC">
      <w:start w:val="1"/>
      <w:numFmt w:val="bullet"/>
      <w:lvlText w:val=""/>
      <w:lvlJc w:val="left"/>
      <w:pPr>
        <w:tabs>
          <w:tab w:val="num" w:pos="2880"/>
        </w:tabs>
        <w:ind w:left="2880" w:hanging="360"/>
      </w:pPr>
      <w:rPr>
        <w:rFonts w:ascii="Symbol" w:hAnsi="Symbol"/>
      </w:rPr>
    </w:lvl>
    <w:lvl w:ilvl="4" w:tplc="09D8E04E">
      <w:start w:val="1"/>
      <w:numFmt w:val="bullet"/>
      <w:lvlText w:val="o"/>
      <w:lvlJc w:val="left"/>
      <w:pPr>
        <w:tabs>
          <w:tab w:val="num" w:pos="3600"/>
        </w:tabs>
        <w:ind w:left="3600" w:hanging="360"/>
      </w:pPr>
      <w:rPr>
        <w:rFonts w:ascii="Courier New" w:hAnsi="Courier New"/>
      </w:rPr>
    </w:lvl>
    <w:lvl w:ilvl="5" w:tplc="9C2CDA12">
      <w:start w:val="1"/>
      <w:numFmt w:val="bullet"/>
      <w:lvlText w:val=""/>
      <w:lvlJc w:val="left"/>
      <w:pPr>
        <w:tabs>
          <w:tab w:val="num" w:pos="4320"/>
        </w:tabs>
        <w:ind w:left="4320" w:hanging="360"/>
      </w:pPr>
      <w:rPr>
        <w:rFonts w:ascii="Wingdings" w:hAnsi="Wingdings"/>
      </w:rPr>
    </w:lvl>
    <w:lvl w:ilvl="6" w:tplc="5E401ABE">
      <w:start w:val="1"/>
      <w:numFmt w:val="bullet"/>
      <w:lvlText w:val=""/>
      <w:lvlJc w:val="left"/>
      <w:pPr>
        <w:tabs>
          <w:tab w:val="num" w:pos="5040"/>
        </w:tabs>
        <w:ind w:left="5040" w:hanging="360"/>
      </w:pPr>
      <w:rPr>
        <w:rFonts w:ascii="Symbol" w:hAnsi="Symbol"/>
      </w:rPr>
    </w:lvl>
    <w:lvl w:ilvl="7" w:tplc="4E4C1FE8">
      <w:start w:val="1"/>
      <w:numFmt w:val="bullet"/>
      <w:lvlText w:val="o"/>
      <w:lvlJc w:val="left"/>
      <w:pPr>
        <w:tabs>
          <w:tab w:val="num" w:pos="5760"/>
        </w:tabs>
        <w:ind w:left="5760" w:hanging="360"/>
      </w:pPr>
      <w:rPr>
        <w:rFonts w:ascii="Courier New" w:hAnsi="Courier New"/>
      </w:rPr>
    </w:lvl>
    <w:lvl w:ilvl="8" w:tplc="862A5A5A">
      <w:start w:val="1"/>
      <w:numFmt w:val="bullet"/>
      <w:lvlText w:val=""/>
      <w:lvlJc w:val="left"/>
      <w:pPr>
        <w:tabs>
          <w:tab w:val="num" w:pos="6480"/>
        </w:tabs>
        <w:ind w:left="6480" w:hanging="360"/>
      </w:pPr>
      <w:rPr>
        <w:rFonts w:ascii="Wingdings" w:hAnsi="Wingdings"/>
      </w:rPr>
    </w:lvl>
  </w:abstractNum>
  <w:abstractNum w:abstractNumId="34">
    <w:nsid w:val="722304E4"/>
    <w:multiLevelType w:val="hybridMultilevel"/>
    <w:tmpl w:val="722304E4"/>
    <w:lvl w:ilvl="0" w:tplc="F056D7A4">
      <w:start w:val="1"/>
      <w:numFmt w:val="bullet"/>
      <w:lvlText w:val=""/>
      <w:lvlJc w:val="left"/>
      <w:pPr>
        <w:ind w:left="720" w:hanging="360"/>
      </w:pPr>
      <w:rPr>
        <w:rFonts w:ascii="Symbol" w:hAnsi="Symbol"/>
      </w:rPr>
    </w:lvl>
    <w:lvl w:ilvl="1" w:tplc="59CEC5F6">
      <w:start w:val="1"/>
      <w:numFmt w:val="bullet"/>
      <w:lvlText w:val="o"/>
      <w:lvlJc w:val="left"/>
      <w:pPr>
        <w:tabs>
          <w:tab w:val="num" w:pos="1440"/>
        </w:tabs>
        <w:ind w:left="1440" w:hanging="360"/>
      </w:pPr>
      <w:rPr>
        <w:rFonts w:ascii="Courier New" w:hAnsi="Courier New"/>
      </w:rPr>
    </w:lvl>
    <w:lvl w:ilvl="2" w:tplc="11809DF8">
      <w:start w:val="1"/>
      <w:numFmt w:val="bullet"/>
      <w:lvlText w:val=""/>
      <w:lvlJc w:val="left"/>
      <w:pPr>
        <w:tabs>
          <w:tab w:val="num" w:pos="2160"/>
        </w:tabs>
        <w:ind w:left="2160" w:hanging="360"/>
      </w:pPr>
      <w:rPr>
        <w:rFonts w:ascii="Wingdings" w:hAnsi="Wingdings"/>
      </w:rPr>
    </w:lvl>
    <w:lvl w:ilvl="3" w:tplc="D9E23BD8">
      <w:start w:val="1"/>
      <w:numFmt w:val="bullet"/>
      <w:lvlText w:val=""/>
      <w:lvlJc w:val="left"/>
      <w:pPr>
        <w:tabs>
          <w:tab w:val="num" w:pos="2880"/>
        </w:tabs>
        <w:ind w:left="2880" w:hanging="360"/>
      </w:pPr>
      <w:rPr>
        <w:rFonts w:ascii="Symbol" w:hAnsi="Symbol"/>
      </w:rPr>
    </w:lvl>
    <w:lvl w:ilvl="4" w:tplc="467EAE78">
      <w:start w:val="1"/>
      <w:numFmt w:val="bullet"/>
      <w:lvlText w:val="o"/>
      <w:lvlJc w:val="left"/>
      <w:pPr>
        <w:tabs>
          <w:tab w:val="num" w:pos="3600"/>
        </w:tabs>
        <w:ind w:left="3600" w:hanging="360"/>
      </w:pPr>
      <w:rPr>
        <w:rFonts w:ascii="Courier New" w:hAnsi="Courier New"/>
      </w:rPr>
    </w:lvl>
    <w:lvl w:ilvl="5" w:tplc="CD3E544A">
      <w:start w:val="1"/>
      <w:numFmt w:val="bullet"/>
      <w:lvlText w:val=""/>
      <w:lvlJc w:val="left"/>
      <w:pPr>
        <w:tabs>
          <w:tab w:val="num" w:pos="4320"/>
        </w:tabs>
        <w:ind w:left="4320" w:hanging="360"/>
      </w:pPr>
      <w:rPr>
        <w:rFonts w:ascii="Wingdings" w:hAnsi="Wingdings"/>
      </w:rPr>
    </w:lvl>
    <w:lvl w:ilvl="6" w:tplc="EAC41C30">
      <w:start w:val="1"/>
      <w:numFmt w:val="bullet"/>
      <w:lvlText w:val=""/>
      <w:lvlJc w:val="left"/>
      <w:pPr>
        <w:tabs>
          <w:tab w:val="num" w:pos="5040"/>
        </w:tabs>
        <w:ind w:left="5040" w:hanging="360"/>
      </w:pPr>
      <w:rPr>
        <w:rFonts w:ascii="Symbol" w:hAnsi="Symbol"/>
      </w:rPr>
    </w:lvl>
    <w:lvl w:ilvl="7" w:tplc="D3E6BB2A">
      <w:start w:val="1"/>
      <w:numFmt w:val="bullet"/>
      <w:lvlText w:val="o"/>
      <w:lvlJc w:val="left"/>
      <w:pPr>
        <w:tabs>
          <w:tab w:val="num" w:pos="5760"/>
        </w:tabs>
        <w:ind w:left="5760" w:hanging="360"/>
      </w:pPr>
      <w:rPr>
        <w:rFonts w:ascii="Courier New" w:hAnsi="Courier New"/>
      </w:rPr>
    </w:lvl>
    <w:lvl w:ilvl="8" w:tplc="C17AF1FC">
      <w:start w:val="1"/>
      <w:numFmt w:val="bullet"/>
      <w:lvlText w:val=""/>
      <w:lvlJc w:val="left"/>
      <w:pPr>
        <w:tabs>
          <w:tab w:val="num" w:pos="6480"/>
        </w:tabs>
        <w:ind w:left="6480" w:hanging="360"/>
      </w:pPr>
      <w:rPr>
        <w:rFonts w:ascii="Wingdings" w:hAnsi="Wingdings"/>
      </w:rPr>
    </w:lvl>
  </w:abstractNum>
  <w:abstractNum w:abstractNumId="35">
    <w:nsid w:val="722304E5"/>
    <w:multiLevelType w:val="hybridMultilevel"/>
    <w:tmpl w:val="722304E5"/>
    <w:lvl w:ilvl="0" w:tplc="F9BEA934">
      <w:start w:val="1"/>
      <w:numFmt w:val="bullet"/>
      <w:lvlText w:val=""/>
      <w:lvlJc w:val="left"/>
      <w:pPr>
        <w:ind w:left="720" w:hanging="360"/>
      </w:pPr>
      <w:rPr>
        <w:rFonts w:ascii="Symbol" w:hAnsi="Symbol"/>
      </w:rPr>
    </w:lvl>
    <w:lvl w:ilvl="1" w:tplc="A0623B0C">
      <w:start w:val="1"/>
      <w:numFmt w:val="bullet"/>
      <w:lvlText w:val="o"/>
      <w:lvlJc w:val="left"/>
      <w:pPr>
        <w:tabs>
          <w:tab w:val="num" w:pos="1440"/>
        </w:tabs>
        <w:ind w:left="1440" w:hanging="360"/>
      </w:pPr>
      <w:rPr>
        <w:rFonts w:ascii="Courier New" w:hAnsi="Courier New"/>
      </w:rPr>
    </w:lvl>
    <w:lvl w:ilvl="2" w:tplc="B0A8B0BC">
      <w:start w:val="1"/>
      <w:numFmt w:val="bullet"/>
      <w:lvlText w:val=""/>
      <w:lvlJc w:val="left"/>
      <w:pPr>
        <w:tabs>
          <w:tab w:val="num" w:pos="2160"/>
        </w:tabs>
        <w:ind w:left="2160" w:hanging="360"/>
      </w:pPr>
      <w:rPr>
        <w:rFonts w:ascii="Wingdings" w:hAnsi="Wingdings"/>
      </w:rPr>
    </w:lvl>
    <w:lvl w:ilvl="3" w:tplc="AD0072D0">
      <w:start w:val="1"/>
      <w:numFmt w:val="bullet"/>
      <w:lvlText w:val=""/>
      <w:lvlJc w:val="left"/>
      <w:pPr>
        <w:tabs>
          <w:tab w:val="num" w:pos="2880"/>
        </w:tabs>
        <w:ind w:left="2880" w:hanging="360"/>
      </w:pPr>
      <w:rPr>
        <w:rFonts w:ascii="Symbol" w:hAnsi="Symbol"/>
      </w:rPr>
    </w:lvl>
    <w:lvl w:ilvl="4" w:tplc="188ACC94">
      <w:start w:val="1"/>
      <w:numFmt w:val="bullet"/>
      <w:lvlText w:val="o"/>
      <w:lvlJc w:val="left"/>
      <w:pPr>
        <w:tabs>
          <w:tab w:val="num" w:pos="3600"/>
        </w:tabs>
        <w:ind w:left="3600" w:hanging="360"/>
      </w:pPr>
      <w:rPr>
        <w:rFonts w:ascii="Courier New" w:hAnsi="Courier New"/>
      </w:rPr>
    </w:lvl>
    <w:lvl w:ilvl="5" w:tplc="F18288EC">
      <w:start w:val="1"/>
      <w:numFmt w:val="bullet"/>
      <w:lvlText w:val=""/>
      <w:lvlJc w:val="left"/>
      <w:pPr>
        <w:tabs>
          <w:tab w:val="num" w:pos="4320"/>
        </w:tabs>
        <w:ind w:left="4320" w:hanging="360"/>
      </w:pPr>
      <w:rPr>
        <w:rFonts w:ascii="Wingdings" w:hAnsi="Wingdings"/>
      </w:rPr>
    </w:lvl>
    <w:lvl w:ilvl="6" w:tplc="50C05A7A">
      <w:start w:val="1"/>
      <w:numFmt w:val="bullet"/>
      <w:lvlText w:val=""/>
      <w:lvlJc w:val="left"/>
      <w:pPr>
        <w:tabs>
          <w:tab w:val="num" w:pos="5040"/>
        </w:tabs>
        <w:ind w:left="5040" w:hanging="360"/>
      </w:pPr>
      <w:rPr>
        <w:rFonts w:ascii="Symbol" w:hAnsi="Symbol"/>
      </w:rPr>
    </w:lvl>
    <w:lvl w:ilvl="7" w:tplc="7D360A9C">
      <w:start w:val="1"/>
      <w:numFmt w:val="bullet"/>
      <w:lvlText w:val="o"/>
      <w:lvlJc w:val="left"/>
      <w:pPr>
        <w:tabs>
          <w:tab w:val="num" w:pos="5760"/>
        </w:tabs>
        <w:ind w:left="5760" w:hanging="360"/>
      </w:pPr>
      <w:rPr>
        <w:rFonts w:ascii="Courier New" w:hAnsi="Courier New"/>
      </w:rPr>
    </w:lvl>
    <w:lvl w:ilvl="8" w:tplc="6BFE799A">
      <w:start w:val="1"/>
      <w:numFmt w:val="bullet"/>
      <w:lvlText w:val=""/>
      <w:lvlJc w:val="left"/>
      <w:pPr>
        <w:tabs>
          <w:tab w:val="num" w:pos="6480"/>
        </w:tabs>
        <w:ind w:left="6480" w:hanging="360"/>
      </w:pPr>
      <w:rPr>
        <w:rFonts w:ascii="Wingdings" w:hAnsi="Wingdings"/>
      </w:rPr>
    </w:lvl>
  </w:abstractNum>
  <w:abstractNum w:abstractNumId="36">
    <w:nsid w:val="722304E6"/>
    <w:multiLevelType w:val="hybridMultilevel"/>
    <w:tmpl w:val="722304E6"/>
    <w:lvl w:ilvl="0" w:tplc="AEF2269A">
      <w:start w:val="1"/>
      <w:numFmt w:val="bullet"/>
      <w:lvlText w:val=""/>
      <w:lvlJc w:val="left"/>
      <w:pPr>
        <w:ind w:left="720" w:hanging="360"/>
      </w:pPr>
      <w:rPr>
        <w:rFonts w:ascii="Symbol" w:hAnsi="Symbol"/>
      </w:rPr>
    </w:lvl>
    <w:lvl w:ilvl="1" w:tplc="50068056">
      <w:start w:val="1"/>
      <w:numFmt w:val="bullet"/>
      <w:lvlText w:val="o"/>
      <w:lvlJc w:val="left"/>
      <w:pPr>
        <w:tabs>
          <w:tab w:val="num" w:pos="1440"/>
        </w:tabs>
        <w:ind w:left="1440" w:hanging="360"/>
      </w:pPr>
      <w:rPr>
        <w:rFonts w:ascii="Courier New" w:hAnsi="Courier New"/>
      </w:rPr>
    </w:lvl>
    <w:lvl w:ilvl="2" w:tplc="D03AFEEA">
      <w:start w:val="1"/>
      <w:numFmt w:val="bullet"/>
      <w:lvlText w:val=""/>
      <w:lvlJc w:val="left"/>
      <w:pPr>
        <w:tabs>
          <w:tab w:val="num" w:pos="2160"/>
        </w:tabs>
        <w:ind w:left="2160" w:hanging="360"/>
      </w:pPr>
      <w:rPr>
        <w:rFonts w:ascii="Wingdings" w:hAnsi="Wingdings"/>
      </w:rPr>
    </w:lvl>
    <w:lvl w:ilvl="3" w:tplc="221A863C">
      <w:start w:val="1"/>
      <w:numFmt w:val="bullet"/>
      <w:lvlText w:val=""/>
      <w:lvlJc w:val="left"/>
      <w:pPr>
        <w:tabs>
          <w:tab w:val="num" w:pos="2880"/>
        </w:tabs>
        <w:ind w:left="2880" w:hanging="360"/>
      </w:pPr>
      <w:rPr>
        <w:rFonts w:ascii="Symbol" w:hAnsi="Symbol"/>
      </w:rPr>
    </w:lvl>
    <w:lvl w:ilvl="4" w:tplc="30FEF828">
      <w:start w:val="1"/>
      <w:numFmt w:val="bullet"/>
      <w:lvlText w:val="o"/>
      <w:lvlJc w:val="left"/>
      <w:pPr>
        <w:tabs>
          <w:tab w:val="num" w:pos="3600"/>
        </w:tabs>
        <w:ind w:left="3600" w:hanging="360"/>
      </w:pPr>
      <w:rPr>
        <w:rFonts w:ascii="Courier New" w:hAnsi="Courier New"/>
      </w:rPr>
    </w:lvl>
    <w:lvl w:ilvl="5" w:tplc="C21C5C36">
      <w:start w:val="1"/>
      <w:numFmt w:val="bullet"/>
      <w:lvlText w:val=""/>
      <w:lvlJc w:val="left"/>
      <w:pPr>
        <w:tabs>
          <w:tab w:val="num" w:pos="4320"/>
        </w:tabs>
        <w:ind w:left="4320" w:hanging="360"/>
      </w:pPr>
      <w:rPr>
        <w:rFonts w:ascii="Wingdings" w:hAnsi="Wingdings"/>
      </w:rPr>
    </w:lvl>
    <w:lvl w:ilvl="6" w:tplc="1612F602">
      <w:start w:val="1"/>
      <w:numFmt w:val="bullet"/>
      <w:lvlText w:val=""/>
      <w:lvlJc w:val="left"/>
      <w:pPr>
        <w:tabs>
          <w:tab w:val="num" w:pos="5040"/>
        </w:tabs>
        <w:ind w:left="5040" w:hanging="360"/>
      </w:pPr>
      <w:rPr>
        <w:rFonts w:ascii="Symbol" w:hAnsi="Symbol"/>
      </w:rPr>
    </w:lvl>
    <w:lvl w:ilvl="7" w:tplc="72B29D36">
      <w:start w:val="1"/>
      <w:numFmt w:val="bullet"/>
      <w:lvlText w:val="o"/>
      <w:lvlJc w:val="left"/>
      <w:pPr>
        <w:tabs>
          <w:tab w:val="num" w:pos="5760"/>
        </w:tabs>
        <w:ind w:left="5760" w:hanging="360"/>
      </w:pPr>
      <w:rPr>
        <w:rFonts w:ascii="Courier New" w:hAnsi="Courier New"/>
      </w:rPr>
    </w:lvl>
    <w:lvl w:ilvl="8" w:tplc="AC9A4154">
      <w:start w:val="1"/>
      <w:numFmt w:val="bullet"/>
      <w:lvlText w:val=""/>
      <w:lvlJc w:val="left"/>
      <w:pPr>
        <w:tabs>
          <w:tab w:val="num" w:pos="6480"/>
        </w:tabs>
        <w:ind w:left="6480" w:hanging="360"/>
      </w:pPr>
      <w:rPr>
        <w:rFonts w:ascii="Wingdings" w:hAnsi="Wingdings"/>
      </w:rPr>
    </w:lvl>
  </w:abstractNum>
  <w:abstractNum w:abstractNumId="37">
    <w:nsid w:val="722304E7"/>
    <w:multiLevelType w:val="hybridMultilevel"/>
    <w:tmpl w:val="722304E7"/>
    <w:lvl w:ilvl="0" w:tplc="08D65D60">
      <w:start w:val="1"/>
      <w:numFmt w:val="bullet"/>
      <w:lvlText w:val=""/>
      <w:lvlJc w:val="left"/>
      <w:pPr>
        <w:ind w:left="720" w:hanging="360"/>
      </w:pPr>
      <w:rPr>
        <w:rFonts w:ascii="Symbol" w:hAnsi="Symbol"/>
      </w:rPr>
    </w:lvl>
    <w:lvl w:ilvl="1" w:tplc="A1F81C4C">
      <w:start w:val="1"/>
      <w:numFmt w:val="bullet"/>
      <w:lvlText w:val="o"/>
      <w:lvlJc w:val="left"/>
      <w:pPr>
        <w:tabs>
          <w:tab w:val="num" w:pos="1440"/>
        </w:tabs>
        <w:ind w:left="1440" w:hanging="360"/>
      </w:pPr>
      <w:rPr>
        <w:rFonts w:ascii="Courier New" w:hAnsi="Courier New"/>
      </w:rPr>
    </w:lvl>
    <w:lvl w:ilvl="2" w:tplc="0DE0B070">
      <w:start w:val="1"/>
      <w:numFmt w:val="bullet"/>
      <w:lvlText w:val=""/>
      <w:lvlJc w:val="left"/>
      <w:pPr>
        <w:tabs>
          <w:tab w:val="num" w:pos="2160"/>
        </w:tabs>
        <w:ind w:left="2160" w:hanging="360"/>
      </w:pPr>
      <w:rPr>
        <w:rFonts w:ascii="Wingdings" w:hAnsi="Wingdings"/>
      </w:rPr>
    </w:lvl>
    <w:lvl w:ilvl="3" w:tplc="6C9C2AC8">
      <w:start w:val="1"/>
      <w:numFmt w:val="bullet"/>
      <w:lvlText w:val=""/>
      <w:lvlJc w:val="left"/>
      <w:pPr>
        <w:tabs>
          <w:tab w:val="num" w:pos="2880"/>
        </w:tabs>
        <w:ind w:left="2880" w:hanging="360"/>
      </w:pPr>
      <w:rPr>
        <w:rFonts w:ascii="Symbol" w:hAnsi="Symbol"/>
      </w:rPr>
    </w:lvl>
    <w:lvl w:ilvl="4" w:tplc="8BE07988">
      <w:start w:val="1"/>
      <w:numFmt w:val="bullet"/>
      <w:lvlText w:val="o"/>
      <w:lvlJc w:val="left"/>
      <w:pPr>
        <w:tabs>
          <w:tab w:val="num" w:pos="3600"/>
        </w:tabs>
        <w:ind w:left="3600" w:hanging="360"/>
      </w:pPr>
      <w:rPr>
        <w:rFonts w:ascii="Courier New" w:hAnsi="Courier New"/>
      </w:rPr>
    </w:lvl>
    <w:lvl w:ilvl="5" w:tplc="E5766154">
      <w:start w:val="1"/>
      <w:numFmt w:val="bullet"/>
      <w:lvlText w:val=""/>
      <w:lvlJc w:val="left"/>
      <w:pPr>
        <w:tabs>
          <w:tab w:val="num" w:pos="4320"/>
        </w:tabs>
        <w:ind w:left="4320" w:hanging="360"/>
      </w:pPr>
      <w:rPr>
        <w:rFonts w:ascii="Wingdings" w:hAnsi="Wingdings"/>
      </w:rPr>
    </w:lvl>
    <w:lvl w:ilvl="6" w:tplc="5EC2CE3C">
      <w:start w:val="1"/>
      <w:numFmt w:val="bullet"/>
      <w:lvlText w:val=""/>
      <w:lvlJc w:val="left"/>
      <w:pPr>
        <w:tabs>
          <w:tab w:val="num" w:pos="5040"/>
        </w:tabs>
        <w:ind w:left="5040" w:hanging="360"/>
      </w:pPr>
      <w:rPr>
        <w:rFonts w:ascii="Symbol" w:hAnsi="Symbol"/>
      </w:rPr>
    </w:lvl>
    <w:lvl w:ilvl="7" w:tplc="81E013E2">
      <w:start w:val="1"/>
      <w:numFmt w:val="bullet"/>
      <w:lvlText w:val="o"/>
      <w:lvlJc w:val="left"/>
      <w:pPr>
        <w:tabs>
          <w:tab w:val="num" w:pos="5760"/>
        </w:tabs>
        <w:ind w:left="5760" w:hanging="360"/>
      </w:pPr>
      <w:rPr>
        <w:rFonts w:ascii="Courier New" w:hAnsi="Courier New"/>
      </w:rPr>
    </w:lvl>
    <w:lvl w:ilvl="8" w:tplc="347AAF9C">
      <w:start w:val="1"/>
      <w:numFmt w:val="bullet"/>
      <w:lvlText w:val=""/>
      <w:lvlJc w:val="left"/>
      <w:pPr>
        <w:tabs>
          <w:tab w:val="num" w:pos="6480"/>
        </w:tabs>
        <w:ind w:left="6480" w:hanging="360"/>
      </w:pPr>
      <w:rPr>
        <w:rFonts w:ascii="Wingdings" w:hAnsi="Wingdings"/>
      </w:rPr>
    </w:lvl>
  </w:abstractNum>
  <w:abstractNum w:abstractNumId="38">
    <w:nsid w:val="722304E8"/>
    <w:multiLevelType w:val="hybridMultilevel"/>
    <w:tmpl w:val="722304E8"/>
    <w:lvl w:ilvl="0" w:tplc="25E65444">
      <w:start w:val="1"/>
      <w:numFmt w:val="bullet"/>
      <w:lvlText w:val=""/>
      <w:lvlJc w:val="left"/>
      <w:pPr>
        <w:ind w:left="720" w:hanging="360"/>
      </w:pPr>
      <w:rPr>
        <w:rFonts w:ascii="Symbol" w:hAnsi="Symbol"/>
      </w:rPr>
    </w:lvl>
    <w:lvl w:ilvl="1" w:tplc="4240ED00">
      <w:start w:val="1"/>
      <w:numFmt w:val="bullet"/>
      <w:lvlText w:val="o"/>
      <w:lvlJc w:val="left"/>
      <w:pPr>
        <w:tabs>
          <w:tab w:val="num" w:pos="1440"/>
        </w:tabs>
        <w:ind w:left="1440" w:hanging="360"/>
      </w:pPr>
      <w:rPr>
        <w:rFonts w:ascii="Courier New" w:hAnsi="Courier New"/>
      </w:rPr>
    </w:lvl>
    <w:lvl w:ilvl="2" w:tplc="BE5C4B9C">
      <w:start w:val="1"/>
      <w:numFmt w:val="bullet"/>
      <w:lvlText w:val=""/>
      <w:lvlJc w:val="left"/>
      <w:pPr>
        <w:tabs>
          <w:tab w:val="num" w:pos="2160"/>
        </w:tabs>
        <w:ind w:left="2160" w:hanging="360"/>
      </w:pPr>
      <w:rPr>
        <w:rFonts w:ascii="Wingdings" w:hAnsi="Wingdings"/>
      </w:rPr>
    </w:lvl>
    <w:lvl w:ilvl="3" w:tplc="06A8BFDC">
      <w:start w:val="1"/>
      <w:numFmt w:val="bullet"/>
      <w:lvlText w:val=""/>
      <w:lvlJc w:val="left"/>
      <w:pPr>
        <w:tabs>
          <w:tab w:val="num" w:pos="2880"/>
        </w:tabs>
        <w:ind w:left="2880" w:hanging="360"/>
      </w:pPr>
      <w:rPr>
        <w:rFonts w:ascii="Symbol" w:hAnsi="Symbol"/>
      </w:rPr>
    </w:lvl>
    <w:lvl w:ilvl="4" w:tplc="0E60CAFA">
      <w:start w:val="1"/>
      <w:numFmt w:val="bullet"/>
      <w:lvlText w:val="o"/>
      <w:lvlJc w:val="left"/>
      <w:pPr>
        <w:tabs>
          <w:tab w:val="num" w:pos="3600"/>
        </w:tabs>
        <w:ind w:left="3600" w:hanging="360"/>
      </w:pPr>
      <w:rPr>
        <w:rFonts w:ascii="Courier New" w:hAnsi="Courier New"/>
      </w:rPr>
    </w:lvl>
    <w:lvl w:ilvl="5" w:tplc="505A266E">
      <w:start w:val="1"/>
      <w:numFmt w:val="bullet"/>
      <w:lvlText w:val=""/>
      <w:lvlJc w:val="left"/>
      <w:pPr>
        <w:tabs>
          <w:tab w:val="num" w:pos="4320"/>
        </w:tabs>
        <w:ind w:left="4320" w:hanging="360"/>
      </w:pPr>
      <w:rPr>
        <w:rFonts w:ascii="Wingdings" w:hAnsi="Wingdings"/>
      </w:rPr>
    </w:lvl>
    <w:lvl w:ilvl="6" w:tplc="9F923330">
      <w:start w:val="1"/>
      <w:numFmt w:val="bullet"/>
      <w:lvlText w:val=""/>
      <w:lvlJc w:val="left"/>
      <w:pPr>
        <w:tabs>
          <w:tab w:val="num" w:pos="5040"/>
        </w:tabs>
        <w:ind w:left="5040" w:hanging="360"/>
      </w:pPr>
      <w:rPr>
        <w:rFonts w:ascii="Symbol" w:hAnsi="Symbol"/>
      </w:rPr>
    </w:lvl>
    <w:lvl w:ilvl="7" w:tplc="21FC04EA">
      <w:start w:val="1"/>
      <w:numFmt w:val="bullet"/>
      <w:lvlText w:val="o"/>
      <w:lvlJc w:val="left"/>
      <w:pPr>
        <w:tabs>
          <w:tab w:val="num" w:pos="5760"/>
        </w:tabs>
        <w:ind w:left="5760" w:hanging="360"/>
      </w:pPr>
      <w:rPr>
        <w:rFonts w:ascii="Courier New" w:hAnsi="Courier New"/>
      </w:rPr>
    </w:lvl>
    <w:lvl w:ilvl="8" w:tplc="D6EE208E">
      <w:start w:val="1"/>
      <w:numFmt w:val="bullet"/>
      <w:lvlText w:val=""/>
      <w:lvlJc w:val="left"/>
      <w:pPr>
        <w:tabs>
          <w:tab w:val="num" w:pos="6480"/>
        </w:tabs>
        <w:ind w:left="6480" w:hanging="360"/>
      </w:pPr>
      <w:rPr>
        <w:rFonts w:ascii="Wingdings" w:hAnsi="Wingdings"/>
      </w:rPr>
    </w:lvl>
  </w:abstractNum>
  <w:abstractNum w:abstractNumId="39">
    <w:nsid w:val="722304E9"/>
    <w:multiLevelType w:val="multilevel"/>
    <w:tmpl w:val="722304E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722304EA"/>
    <w:multiLevelType w:val="hybridMultilevel"/>
    <w:tmpl w:val="722304EA"/>
    <w:lvl w:ilvl="0" w:tplc="2416C05A">
      <w:start w:val="1"/>
      <w:numFmt w:val="bullet"/>
      <w:lvlText w:val=""/>
      <w:lvlJc w:val="left"/>
      <w:pPr>
        <w:ind w:left="720" w:hanging="360"/>
      </w:pPr>
      <w:rPr>
        <w:rFonts w:ascii="Symbol" w:hAnsi="Symbol"/>
      </w:rPr>
    </w:lvl>
    <w:lvl w:ilvl="1" w:tplc="EA882A2A">
      <w:start w:val="1"/>
      <w:numFmt w:val="bullet"/>
      <w:lvlText w:val="o"/>
      <w:lvlJc w:val="left"/>
      <w:pPr>
        <w:tabs>
          <w:tab w:val="num" w:pos="1440"/>
        </w:tabs>
        <w:ind w:left="1440" w:hanging="360"/>
      </w:pPr>
      <w:rPr>
        <w:rFonts w:ascii="Courier New" w:hAnsi="Courier New"/>
      </w:rPr>
    </w:lvl>
    <w:lvl w:ilvl="2" w:tplc="FD3C88D8">
      <w:start w:val="1"/>
      <w:numFmt w:val="bullet"/>
      <w:lvlText w:val=""/>
      <w:lvlJc w:val="left"/>
      <w:pPr>
        <w:tabs>
          <w:tab w:val="num" w:pos="2160"/>
        </w:tabs>
        <w:ind w:left="2160" w:hanging="360"/>
      </w:pPr>
      <w:rPr>
        <w:rFonts w:ascii="Wingdings" w:hAnsi="Wingdings"/>
      </w:rPr>
    </w:lvl>
    <w:lvl w:ilvl="3" w:tplc="70806566">
      <w:start w:val="1"/>
      <w:numFmt w:val="bullet"/>
      <w:lvlText w:val=""/>
      <w:lvlJc w:val="left"/>
      <w:pPr>
        <w:tabs>
          <w:tab w:val="num" w:pos="2880"/>
        </w:tabs>
        <w:ind w:left="2880" w:hanging="360"/>
      </w:pPr>
      <w:rPr>
        <w:rFonts w:ascii="Symbol" w:hAnsi="Symbol"/>
      </w:rPr>
    </w:lvl>
    <w:lvl w:ilvl="4" w:tplc="69C05672">
      <w:start w:val="1"/>
      <w:numFmt w:val="bullet"/>
      <w:lvlText w:val="o"/>
      <w:lvlJc w:val="left"/>
      <w:pPr>
        <w:tabs>
          <w:tab w:val="num" w:pos="3600"/>
        </w:tabs>
        <w:ind w:left="3600" w:hanging="360"/>
      </w:pPr>
      <w:rPr>
        <w:rFonts w:ascii="Courier New" w:hAnsi="Courier New"/>
      </w:rPr>
    </w:lvl>
    <w:lvl w:ilvl="5" w:tplc="DF68536E">
      <w:start w:val="1"/>
      <w:numFmt w:val="bullet"/>
      <w:lvlText w:val=""/>
      <w:lvlJc w:val="left"/>
      <w:pPr>
        <w:tabs>
          <w:tab w:val="num" w:pos="4320"/>
        </w:tabs>
        <w:ind w:left="4320" w:hanging="360"/>
      </w:pPr>
      <w:rPr>
        <w:rFonts w:ascii="Wingdings" w:hAnsi="Wingdings"/>
      </w:rPr>
    </w:lvl>
    <w:lvl w:ilvl="6" w:tplc="0262CB9C">
      <w:start w:val="1"/>
      <w:numFmt w:val="bullet"/>
      <w:lvlText w:val=""/>
      <w:lvlJc w:val="left"/>
      <w:pPr>
        <w:tabs>
          <w:tab w:val="num" w:pos="5040"/>
        </w:tabs>
        <w:ind w:left="5040" w:hanging="360"/>
      </w:pPr>
      <w:rPr>
        <w:rFonts w:ascii="Symbol" w:hAnsi="Symbol"/>
      </w:rPr>
    </w:lvl>
    <w:lvl w:ilvl="7" w:tplc="95E6047C">
      <w:start w:val="1"/>
      <w:numFmt w:val="bullet"/>
      <w:lvlText w:val="o"/>
      <w:lvlJc w:val="left"/>
      <w:pPr>
        <w:tabs>
          <w:tab w:val="num" w:pos="5760"/>
        </w:tabs>
        <w:ind w:left="5760" w:hanging="360"/>
      </w:pPr>
      <w:rPr>
        <w:rFonts w:ascii="Courier New" w:hAnsi="Courier New"/>
      </w:rPr>
    </w:lvl>
    <w:lvl w:ilvl="8" w:tplc="50948FB6">
      <w:start w:val="1"/>
      <w:numFmt w:val="bullet"/>
      <w:lvlText w:val=""/>
      <w:lvlJc w:val="left"/>
      <w:pPr>
        <w:tabs>
          <w:tab w:val="num" w:pos="6480"/>
        </w:tabs>
        <w:ind w:left="6480" w:hanging="360"/>
      </w:pPr>
      <w:rPr>
        <w:rFonts w:ascii="Wingdings" w:hAnsi="Wingdings"/>
      </w:rPr>
    </w:lvl>
  </w:abstractNum>
  <w:abstractNum w:abstractNumId="41">
    <w:nsid w:val="722304EB"/>
    <w:multiLevelType w:val="hybridMultilevel"/>
    <w:tmpl w:val="722304EB"/>
    <w:lvl w:ilvl="0" w:tplc="F4DE7986">
      <w:start w:val="1"/>
      <w:numFmt w:val="bullet"/>
      <w:lvlText w:val=""/>
      <w:lvlJc w:val="left"/>
      <w:pPr>
        <w:ind w:left="720" w:hanging="360"/>
      </w:pPr>
      <w:rPr>
        <w:rFonts w:ascii="Symbol" w:hAnsi="Symbol"/>
      </w:rPr>
    </w:lvl>
    <w:lvl w:ilvl="1" w:tplc="65480236">
      <w:start w:val="1"/>
      <w:numFmt w:val="bullet"/>
      <w:lvlText w:val="o"/>
      <w:lvlJc w:val="left"/>
      <w:pPr>
        <w:tabs>
          <w:tab w:val="num" w:pos="1440"/>
        </w:tabs>
        <w:ind w:left="1440" w:hanging="360"/>
      </w:pPr>
      <w:rPr>
        <w:rFonts w:ascii="Courier New" w:hAnsi="Courier New"/>
      </w:rPr>
    </w:lvl>
    <w:lvl w:ilvl="2" w:tplc="2F2AE7BE">
      <w:start w:val="1"/>
      <w:numFmt w:val="bullet"/>
      <w:lvlText w:val=""/>
      <w:lvlJc w:val="left"/>
      <w:pPr>
        <w:tabs>
          <w:tab w:val="num" w:pos="2160"/>
        </w:tabs>
        <w:ind w:left="2160" w:hanging="360"/>
      </w:pPr>
      <w:rPr>
        <w:rFonts w:ascii="Wingdings" w:hAnsi="Wingdings"/>
      </w:rPr>
    </w:lvl>
    <w:lvl w:ilvl="3" w:tplc="085874D6">
      <w:start w:val="1"/>
      <w:numFmt w:val="bullet"/>
      <w:lvlText w:val=""/>
      <w:lvlJc w:val="left"/>
      <w:pPr>
        <w:tabs>
          <w:tab w:val="num" w:pos="2880"/>
        </w:tabs>
        <w:ind w:left="2880" w:hanging="360"/>
      </w:pPr>
      <w:rPr>
        <w:rFonts w:ascii="Symbol" w:hAnsi="Symbol"/>
      </w:rPr>
    </w:lvl>
    <w:lvl w:ilvl="4" w:tplc="A27271E8">
      <w:start w:val="1"/>
      <w:numFmt w:val="bullet"/>
      <w:lvlText w:val="o"/>
      <w:lvlJc w:val="left"/>
      <w:pPr>
        <w:tabs>
          <w:tab w:val="num" w:pos="3600"/>
        </w:tabs>
        <w:ind w:left="3600" w:hanging="360"/>
      </w:pPr>
      <w:rPr>
        <w:rFonts w:ascii="Courier New" w:hAnsi="Courier New"/>
      </w:rPr>
    </w:lvl>
    <w:lvl w:ilvl="5" w:tplc="30AA51E0">
      <w:start w:val="1"/>
      <w:numFmt w:val="bullet"/>
      <w:lvlText w:val=""/>
      <w:lvlJc w:val="left"/>
      <w:pPr>
        <w:tabs>
          <w:tab w:val="num" w:pos="4320"/>
        </w:tabs>
        <w:ind w:left="4320" w:hanging="360"/>
      </w:pPr>
      <w:rPr>
        <w:rFonts w:ascii="Wingdings" w:hAnsi="Wingdings"/>
      </w:rPr>
    </w:lvl>
    <w:lvl w:ilvl="6" w:tplc="6A70D366">
      <w:start w:val="1"/>
      <w:numFmt w:val="bullet"/>
      <w:lvlText w:val=""/>
      <w:lvlJc w:val="left"/>
      <w:pPr>
        <w:tabs>
          <w:tab w:val="num" w:pos="5040"/>
        </w:tabs>
        <w:ind w:left="5040" w:hanging="360"/>
      </w:pPr>
      <w:rPr>
        <w:rFonts w:ascii="Symbol" w:hAnsi="Symbol"/>
      </w:rPr>
    </w:lvl>
    <w:lvl w:ilvl="7" w:tplc="93D832E0">
      <w:start w:val="1"/>
      <w:numFmt w:val="bullet"/>
      <w:lvlText w:val="o"/>
      <w:lvlJc w:val="left"/>
      <w:pPr>
        <w:tabs>
          <w:tab w:val="num" w:pos="5760"/>
        </w:tabs>
        <w:ind w:left="5760" w:hanging="360"/>
      </w:pPr>
      <w:rPr>
        <w:rFonts w:ascii="Courier New" w:hAnsi="Courier New"/>
      </w:rPr>
    </w:lvl>
    <w:lvl w:ilvl="8" w:tplc="06265558">
      <w:start w:val="1"/>
      <w:numFmt w:val="bullet"/>
      <w:lvlText w:val=""/>
      <w:lvlJc w:val="left"/>
      <w:pPr>
        <w:tabs>
          <w:tab w:val="num" w:pos="6480"/>
        </w:tabs>
        <w:ind w:left="6480" w:hanging="360"/>
      </w:pPr>
      <w:rPr>
        <w:rFonts w:ascii="Wingdings" w:hAnsi="Wingdings"/>
      </w:rPr>
    </w:lvl>
  </w:abstractNum>
  <w:abstractNum w:abstractNumId="42">
    <w:nsid w:val="722304EC"/>
    <w:multiLevelType w:val="hybridMultilevel"/>
    <w:tmpl w:val="722304EC"/>
    <w:lvl w:ilvl="0" w:tplc="3182CECA">
      <w:start w:val="1"/>
      <w:numFmt w:val="bullet"/>
      <w:lvlText w:val=""/>
      <w:lvlJc w:val="left"/>
      <w:pPr>
        <w:ind w:left="720" w:hanging="360"/>
      </w:pPr>
      <w:rPr>
        <w:rFonts w:ascii="Symbol" w:hAnsi="Symbol"/>
      </w:rPr>
    </w:lvl>
    <w:lvl w:ilvl="1" w:tplc="C37CE700">
      <w:start w:val="1"/>
      <w:numFmt w:val="bullet"/>
      <w:lvlText w:val="o"/>
      <w:lvlJc w:val="left"/>
      <w:pPr>
        <w:tabs>
          <w:tab w:val="num" w:pos="1440"/>
        </w:tabs>
        <w:ind w:left="1440" w:hanging="360"/>
      </w:pPr>
      <w:rPr>
        <w:rFonts w:ascii="Courier New" w:hAnsi="Courier New"/>
      </w:rPr>
    </w:lvl>
    <w:lvl w:ilvl="2" w:tplc="87ECD6B0">
      <w:start w:val="1"/>
      <w:numFmt w:val="bullet"/>
      <w:lvlText w:val=""/>
      <w:lvlJc w:val="left"/>
      <w:pPr>
        <w:tabs>
          <w:tab w:val="num" w:pos="2160"/>
        </w:tabs>
        <w:ind w:left="2160" w:hanging="360"/>
      </w:pPr>
      <w:rPr>
        <w:rFonts w:ascii="Wingdings" w:hAnsi="Wingdings"/>
      </w:rPr>
    </w:lvl>
    <w:lvl w:ilvl="3" w:tplc="B6685DAE">
      <w:start w:val="1"/>
      <w:numFmt w:val="bullet"/>
      <w:lvlText w:val=""/>
      <w:lvlJc w:val="left"/>
      <w:pPr>
        <w:tabs>
          <w:tab w:val="num" w:pos="2880"/>
        </w:tabs>
        <w:ind w:left="2880" w:hanging="360"/>
      </w:pPr>
      <w:rPr>
        <w:rFonts w:ascii="Symbol" w:hAnsi="Symbol"/>
      </w:rPr>
    </w:lvl>
    <w:lvl w:ilvl="4" w:tplc="5582B0E8">
      <w:start w:val="1"/>
      <w:numFmt w:val="bullet"/>
      <w:lvlText w:val="o"/>
      <w:lvlJc w:val="left"/>
      <w:pPr>
        <w:tabs>
          <w:tab w:val="num" w:pos="3600"/>
        </w:tabs>
        <w:ind w:left="3600" w:hanging="360"/>
      </w:pPr>
      <w:rPr>
        <w:rFonts w:ascii="Courier New" w:hAnsi="Courier New"/>
      </w:rPr>
    </w:lvl>
    <w:lvl w:ilvl="5" w:tplc="4B5EBBFE">
      <w:start w:val="1"/>
      <w:numFmt w:val="bullet"/>
      <w:lvlText w:val=""/>
      <w:lvlJc w:val="left"/>
      <w:pPr>
        <w:tabs>
          <w:tab w:val="num" w:pos="4320"/>
        </w:tabs>
        <w:ind w:left="4320" w:hanging="360"/>
      </w:pPr>
      <w:rPr>
        <w:rFonts w:ascii="Wingdings" w:hAnsi="Wingdings"/>
      </w:rPr>
    </w:lvl>
    <w:lvl w:ilvl="6" w:tplc="9FA8850A">
      <w:start w:val="1"/>
      <w:numFmt w:val="bullet"/>
      <w:lvlText w:val=""/>
      <w:lvlJc w:val="left"/>
      <w:pPr>
        <w:tabs>
          <w:tab w:val="num" w:pos="5040"/>
        </w:tabs>
        <w:ind w:left="5040" w:hanging="360"/>
      </w:pPr>
      <w:rPr>
        <w:rFonts w:ascii="Symbol" w:hAnsi="Symbol"/>
      </w:rPr>
    </w:lvl>
    <w:lvl w:ilvl="7" w:tplc="5FEC3A8A">
      <w:start w:val="1"/>
      <w:numFmt w:val="bullet"/>
      <w:lvlText w:val="o"/>
      <w:lvlJc w:val="left"/>
      <w:pPr>
        <w:tabs>
          <w:tab w:val="num" w:pos="5760"/>
        </w:tabs>
        <w:ind w:left="5760" w:hanging="360"/>
      </w:pPr>
      <w:rPr>
        <w:rFonts w:ascii="Courier New" w:hAnsi="Courier New"/>
      </w:rPr>
    </w:lvl>
    <w:lvl w:ilvl="8" w:tplc="2DA20188">
      <w:start w:val="1"/>
      <w:numFmt w:val="bullet"/>
      <w:lvlText w:val=""/>
      <w:lvlJc w:val="left"/>
      <w:pPr>
        <w:tabs>
          <w:tab w:val="num" w:pos="6480"/>
        </w:tabs>
        <w:ind w:left="6480" w:hanging="360"/>
      </w:pPr>
      <w:rPr>
        <w:rFonts w:ascii="Wingdings" w:hAnsi="Wingdings"/>
      </w:rPr>
    </w:lvl>
  </w:abstractNum>
  <w:abstractNum w:abstractNumId="43">
    <w:nsid w:val="722304ED"/>
    <w:multiLevelType w:val="multilevel"/>
    <w:tmpl w:val="722304E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nsid w:val="722304EE"/>
    <w:multiLevelType w:val="hybridMultilevel"/>
    <w:tmpl w:val="722304EE"/>
    <w:lvl w:ilvl="0" w:tplc="61F8BEB2">
      <w:start w:val="1"/>
      <w:numFmt w:val="bullet"/>
      <w:lvlText w:val=""/>
      <w:lvlJc w:val="left"/>
      <w:pPr>
        <w:ind w:left="720" w:hanging="360"/>
      </w:pPr>
      <w:rPr>
        <w:rFonts w:ascii="Symbol" w:hAnsi="Symbol"/>
      </w:rPr>
    </w:lvl>
    <w:lvl w:ilvl="1" w:tplc="59C65D98">
      <w:start w:val="1"/>
      <w:numFmt w:val="bullet"/>
      <w:lvlText w:val="o"/>
      <w:lvlJc w:val="left"/>
      <w:pPr>
        <w:tabs>
          <w:tab w:val="num" w:pos="1440"/>
        </w:tabs>
        <w:ind w:left="1440" w:hanging="360"/>
      </w:pPr>
      <w:rPr>
        <w:rFonts w:ascii="Courier New" w:hAnsi="Courier New"/>
      </w:rPr>
    </w:lvl>
    <w:lvl w:ilvl="2" w:tplc="2DBC09EC">
      <w:start w:val="1"/>
      <w:numFmt w:val="bullet"/>
      <w:lvlText w:val=""/>
      <w:lvlJc w:val="left"/>
      <w:pPr>
        <w:tabs>
          <w:tab w:val="num" w:pos="2160"/>
        </w:tabs>
        <w:ind w:left="2160" w:hanging="360"/>
      </w:pPr>
      <w:rPr>
        <w:rFonts w:ascii="Wingdings" w:hAnsi="Wingdings"/>
      </w:rPr>
    </w:lvl>
    <w:lvl w:ilvl="3" w:tplc="102E08A6">
      <w:start w:val="1"/>
      <w:numFmt w:val="bullet"/>
      <w:lvlText w:val=""/>
      <w:lvlJc w:val="left"/>
      <w:pPr>
        <w:tabs>
          <w:tab w:val="num" w:pos="2880"/>
        </w:tabs>
        <w:ind w:left="2880" w:hanging="360"/>
      </w:pPr>
      <w:rPr>
        <w:rFonts w:ascii="Symbol" w:hAnsi="Symbol"/>
      </w:rPr>
    </w:lvl>
    <w:lvl w:ilvl="4" w:tplc="2DA6A6F0">
      <w:start w:val="1"/>
      <w:numFmt w:val="bullet"/>
      <w:lvlText w:val="o"/>
      <w:lvlJc w:val="left"/>
      <w:pPr>
        <w:tabs>
          <w:tab w:val="num" w:pos="3600"/>
        </w:tabs>
        <w:ind w:left="3600" w:hanging="360"/>
      </w:pPr>
      <w:rPr>
        <w:rFonts w:ascii="Courier New" w:hAnsi="Courier New"/>
      </w:rPr>
    </w:lvl>
    <w:lvl w:ilvl="5" w:tplc="F978386C">
      <w:start w:val="1"/>
      <w:numFmt w:val="bullet"/>
      <w:lvlText w:val=""/>
      <w:lvlJc w:val="left"/>
      <w:pPr>
        <w:tabs>
          <w:tab w:val="num" w:pos="4320"/>
        </w:tabs>
        <w:ind w:left="4320" w:hanging="360"/>
      </w:pPr>
      <w:rPr>
        <w:rFonts w:ascii="Wingdings" w:hAnsi="Wingdings"/>
      </w:rPr>
    </w:lvl>
    <w:lvl w:ilvl="6" w:tplc="0318FD14">
      <w:start w:val="1"/>
      <w:numFmt w:val="bullet"/>
      <w:lvlText w:val=""/>
      <w:lvlJc w:val="left"/>
      <w:pPr>
        <w:tabs>
          <w:tab w:val="num" w:pos="5040"/>
        </w:tabs>
        <w:ind w:left="5040" w:hanging="360"/>
      </w:pPr>
      <w:rPr>
        <w:rFonts w:ascii="Symbol" w:hAnsi="Symbol"/>
      </w:rPr>
    </w:lvl>
    <w:lvl w:ilvl="7" w:tplc="8BDE589C">
      <w:start w:val="1"/>
      <w:numFmt w:val="bullet"/>
      <w:lvlText w:val="o"/>
      <w:lvlJc w:val="left"/>
      <w:pPr>
        <w:tabs>
          <w:tab w:val="num" w:pos="5760"/>
        </w:tabs>
        <w:ind w:left="5760" w:hanging="360"/>
      </w:pPr>
      <w:rPr>
        <w:rFonts w:ascii="Courier New" w:hAnsi="Courier New"/>
      </w:rPr>
    </w:lvl>
    <w:lvl w:ilvl="8" w:tplc="B3207C8E">
      <w:start w:val="1"/>
      <w:numFmt w:val="bullet"/>
      <w:lvlText w:val=""/>
      <w:lvlJc w:val="left"/>
      <w:pPr>
        <w:tabs>
          <w:tab w:val="num" w:pos="6480"/>
        </w:tabs>
        <w:ind w:left="6480" w:hanging="360"/>
      </w:pPr>
      <w:rPr>
        <w:rFonts w:ascii="Wingdings" w:hAnsi="Wingdings"/>
      </w:rPr>
    </w:lvl>
  </w:abstractNum>
  <w:abstractNum w:abstractNumId="45">
    <w:nsid w:val="722304EF"/>
    <w:multiLevelType w:val="hybridMultilevel"/>
    <w:tmpl w:val="722304EF"/>
    <w:lvl w:ilvl="0" w:tplc="662C234C">
      <w:start w:val="1"/>
      <w:numFmt w:val="bullet"/>
      <w:lvlText w:val=""/>
      <w:lvlJc w:val="left"/>
      <w:pPr>
        <w:ind w:left="720" w:hanging="360"/>
      </w:pPr>
      <w:rPr>
        <w:rFonts w:ascii="Symbol" w:hAnsi="Symbol"/>
      </w:rPr>
    </w:lvl>
    <w:lvl w:ilvl="1" w:tplc="5CEEA410">
      <w:start w:val="1"/>
      <w:numFmt w:val="bullet"/>
      <w:lvlText w:val="o"/>
      <w:lvlJc w:val="left"/>
      <w:pPr>
        <w:tabs>
          <w:tab w:val="num" w:pos="1440"/>
        </w:tabs>
        <w:ind w:left="1440" w:hanging="360"/>
      </w:pPr>
      <w:rPr>
        <w:rFonts w:ascii="Courier New" w:hAnsi="Courier New"/>
      </w:rPr>
    </w:lvl>
    <w:lvl w:ilvl="2" w:tplc="817258F0">
      <w:start w:val="1"/>
      <w:numFmt w:val="bullet"/>
      <w:lvlText w:val=""/>
      <w:lvlJc w:val="left"/>
      <w:pPr>
        <w:tabs>
          <w:tab w:val="num" w:pos="2160"/>
        </w:tabs>
        <w:ind w:left="2160" w:hanging="360"/>
      </w:pPr>
      <w:rPr>
        <w:rFonts w:ascii="Wingdings" w:hAnsi="Wingdings"/>
      </w:rPr>
    </w:lvl>
    <w:lvl w:ilvl="3" w:tplc="5808878C">
      <w:start w:val="1"/>
      <w:numFmt w:val="bullet"/>
      <w:lvlText w:val=""/>
      <w:lvlJc w:val="left"/>
      <w:pPr>
        <w:tabs>
          <w:tab w:val="num" w:pos="2880"/>
        </w:tabs>
        <w:ind w:left="2880" w:hanging="360"/>
      </w:pPr>
      <w:rPr>
        <w:rFonts w:ascii="Symbol" w:hAnsi="Symbol"/>
      </w:rPr>
    </w:lvl>
    <w:lvl w:ilvl="4" w:tplc="77E4099E">
      <w:start w:val="1"/>
      <w:numFmt w:val="bullet"/>
      <w:lvlText w:val="o"/>
      <w:lvlJc w:val="left"/>
      <w:pPr>
        <w:tabs>
          <w:tab w:val="num" w:pos="3600"/>
        </w:tabs>
        <w:ind w:left="3600" w:hanging="360"/>
      </w:pPr>
      <w:rPr>
        <w:rFonts w:ascii="Courier New" w:hAnsi="Courier New"/>
      </w:rPr>
    </w:lvl>
    <w:lvl w:ilvl="5" w:tplc="34CCDB26">
      <w:start w:val="1"/>
      <w:numFmt w:val="bullet"/>
      <w:lvlText w:val=""/>
      <w:lvlJc w:val="left"/>
      <w:pPr>
        <w:tabs>
          <w:tab w:val="num" w:pos="4320"/>
        </w:tabs>
        <w:ind w:left="4320" w:hanging="360"/>
      </w:pPr>
      <w:rPr>
        <w:rFonts w:ascii="Wingdings" w:hAnsi="Wingdings"/>
      </w:rPr>
    </w:lvl>
    <w:lvl w:ilvl="6" w:tplc="FA7C2CD6">
      <w:start w:val="1"/>
      <w:numFmt w:val="bullet"/>
      <w:lvlText w:val=""/>
      <w:lvlJc w:val="left"/>
      <w:pPr>
        <w:tabs>
          <w:tab w:val="num" w:pos="5040"/>
        </w:tabs>
        <w:ind w:left="5040" w:hanging="360"/>
      </w:pPr>
      <w:rPr>
        <w:rFonts w:ascii="Symbol" w:hAnsi="Symbol"/>
      </w:rPr>
    </w:lvl>
    <w:lvl w:ilvl="7" w:tplc="80ACDBA0">
      <w:start w:val="1"/>
      <w:numFmt w:val="bullet"/>
      <w:lvlText w:val="o"/>
      <w:lvlJc w:val="left"/>
      <w:pPr>
        <w:tabs>
          <w:tab w:val="num" w:pos="5760"/>
        </w:tabs>
        <w:ind w:left="5760" w:hanging="360"/>
      </w:pPr>
      <w:rPr>
        <w:rFonts w:ascii="Courier New" w:hAnsi="Courier New"/>
      </w:rPr>
    </w:lvl>
    <w:lvl w:ilvl="8" w:tplc="02609F40">
      <w:start w:val="1"/>
      <w:numFmt w:val="bullet"/>
      <w:lvlText w:val=""/>
      <w:lvlJc w:val="left"/>
      <w:pPr>
        <w:tabs>
          <w:tab w:val="num" w:pos="6480"/>
        </w:tabs>
        <w:ind w:left="6480" w:hanging="360"/>
      </w:pPr>
      <w:rPr>
        <w:rFonts w:ascii="Wingdings" w:hAnsi="Wingdings"/>
      </w:rPr>
    </w:lvl>
  </w:abstractNum>
  <w:abstractNum w:abstractNumId="46">
    <w:nsid w:val="722304F0"/>
    <w:multiLevelType w:val="hybridMultilevel"/>
    <w:tmpl w:val="722304F0"/>
    <w:lvl w:ilvl="0" w:tplc="CC1E1F1A">
      <w:start w:val="1"/>
      <w:numFmt w:val="bullet"/>
      <w:lvlText w:val=""/>
      <w:lvlJc w:val="left"/>
      <w:pPr>
        <w:ind w:left="720" w:hanging="360"/>
      </w:pPr>
      <w:rPr>
        <w:rFonts w:ascii="Symbol" w:hAnsi="Symbol"/>
      </w:rPr>
    </w:lvl>
    <w:lvl w:ilvl="1" w:tplc="7D5A5A46">
      <w:start w:val="1"/>
      <w:numFmt w:val="bullet"/>
      <w:lvlText w:val="o"/>
      <w:lvlJc w:val="left"/>
      <w:pPr>
        <w:tabs>
          <w:tab w:val="num" w:pos="1440"/>
        </w:tabs>
        <w:ind w:left="1440" w:hanging="360"/>
      </w:pPr>
      <w:rPr>
        <w:rFonts w:ascii="Courier New" w:hAnsi="Courier New"/>
      </w:rPr>
    </w:lvl>
    <w:lvl w:ilvl="2" w:tplc="C41ABED8">
      <w:start w:val="1"/>
      <w:numFmt w:val="bullet"/>
      <w:lvlText w:val=""/>
      <w:lvlJc w:val="left"/>
      <w:pPr>
        <w:tabs>
          <w:tab w:val="num" w:pos="2160"/>
        </w:tabs>
        <w:ind w:left="2160" w:hanging="360"/>
      </w:pPr>
      <w:rPr>
        <w:rFonts w:ascii="Wingdings" w:hAnsi="Wingdings"/>
      </w:rPr>
    </w:lvl>
    <w:lvl w:ilvl="3" w:tplc="FF200A1C">
      <w:start w:val="1"/>
      <w:numFmt w:val="bullet"/>
      <w:lvlText w:val=""/>
      <w:lvlJc w:val="left"/>
      <w:pPr>
        <w:tabs>
          <w:tab w:val="num" w:pos="2880"/>
        </w:tabs>
        <w:ind w:left="2880" w:hanging="360"/>
      </w:pPr>
      <w:rPr>
        <w:rFonts w:ascii="Symbol" w:hAnsi="Symbol"/>
      </w:rPr>
    </w:lvl>
    <w:lvl w:ilvl="4" w:tplc="176E2612">
      <w:start w:val="1"/>
      <w:numFmt w:val="bullet"/>
      <w:lvlText w:val="o"/>
      <w:lvlJc w:val="left"/>
      <w:pPr>
        <w:tabs>
          <w:tab w:val="num" w:pos="3600"/>
        </w:tabs>
        <w:ind w:left="3600" w:hanging="360"/>
      </w:pPr>
      <w:rPr>
        <w:rFonts w:ascii="Courier New" w:hAnsi="Courier New"/>
      </w:rPr>
    </w:lvl>
    <w:lvl w:ilvl="5" w:tplc="C7D4C7C6">
      <w:start w:val="1"/>
      <w:numFmt w:val="bullet"/>
      <w:lvlText w:val=""/>
      <w:lvlJc w:val="left"/>
      <w:pPr>
        <w:tabs>
          <w:tab w:val="num" w:pos="4320"/>
        </w:tabs>
        <w:ind w:left="4320" w:hanging="360"/>
      </w:pPr>
      <w:rPr>
        <w:rFonts w:ascii="Wingdings" w:hAnsi="Wingdings"/>
      </w:rPr>
    </w:lvl>
    <w:lvl w:ilvl="6" w:tplc="7A3CEFFA">
      <w:start w:val="1"/>
      <w:numFmt w:val="bullet"/>
      <w:lvlText w:val=""/>
      <w:lvlJc w:val="left"/>
      <w:pPr>
        <w:tabs>
          <w:tab w:val="num" w:pos="5040"/>
        </w:tabs>
        <w:ind w:left="5040" w:hanging="360"/>
      </w:pPr>
      <w:rPr>
        <w:rFonts w:ascii="Symbol" w:hAnsi="Symbol"/>
      </w:rPr>
    </w:lvl>
    <w:lvl w:ilvl="7" w:tplc="DB468526">
      <w:start w:val="1"/>
      <w:numFmt w:val="bullet"/>
      <w:lvlText w:val="o"/>
      <w:lvlJc w:val="left"/>
      <w:pPr>
        <w:tabs>
          <w:tab w:val="num" w:pos="5760"/>
        </w:tabs>
        <w:ind w:left="5760" w:hanging="360"/>
      </w:pPr>
      <w:rPr>
        <w:rFonts w:ascii="Courier New" w:hAnsi="Courier New"/>
      </w:rPr>
    </w:lvl>
    <w:lvl w:ilvl="8" w:tplc="898E7B36">
      <w:start w:val="1"/>
      <w:numFmt w:val="bullet"/>
      <w:lvlText w:val=""/>
      <w:lvlJc w:val="left"/>
      <w:pPr>
        <w:tabs>
          <w:tab w:val="num" w:pos="6480"/>
        </w:tabs>
        <w:ind w:left="6480" w:hanging="360"/>
      </w:pPr>
      <w:rPr>
        <w:rFonts w:ascii="Wingdings" w:hAnsi="Wingdings"/>
      </w:rPr>
    </w:lvl>
  </w:abstractNum>
  <w:abstractNum w:abstractNumId="47">
    <w:nsid w:val="722304F1"/>
    <w:multiLevelType w:val="hybridMultilevel"/>
    <w:tmpl w:val="722304F1"/>
    <w:lvl w:ilvl="0" w:tplc="56627A8E">
      <w:start w:val="1"/>
      <w:numFmt w:val="bullet"/>
      <w:lvlText w:val=""/>
      <w:lvlJc w:val="left"/>
      <w:pPr>
        <w:ind w:left="720" w:hanging="360"/>
      </w:pPr>
      <w:rPr>
        <w:rFonts w:ascii="Symbol" w:hAnsi="Symbol"/>
      </w:rPr>
    </w:lvl>
    <w:lvl w:ilvl="1" w:tplc="31C49386">
      <w:start w:val="1"/>
      <w:numFmt w:val="bullet"/>
      <w:lvlText w:val="o"/>
      <w:lvlJc w:val="left"/>
      <w:pPr>
        <w:tabs>
          <w:tab w:val="num" w:pos="1440"/>
        </w:tabs>
        <w:ind w:left="1440" w:hanging="360"/>
      </w:pPr>
      <w:rPr>
        <w:rFonts w:ascii="Courier New" w:hAnsi="Courier New"/>
      </w:rPr>
    </w:lvl>
    <w:lvl w:ilvl="2" w:tplc="E09A29B4">
      <w:start w:val="1"/>
      <w:numFmt w:val="bullet"/>
      <w:lvlText w:val=""/>
      <w:lvlJc w:val="left"/>
      <w:pPr>
        <w:tabs>
          <w:tab w:val="num" w:pos="2160"/>
        </w:tabs>
        <w:ind w:left="2160" w:hanging="360"/>
      </w:pPr>
      <w:rPr>
        <w:rFonts w:ascii="Wingdings" w:hAnsi="Wingdings"/>
      </w:rPr>
    </w:lvl>
    <w:lvl w:ilvl="3" w:tplc="55CAA9A8">
      <w:start w:val="1"/>
      <w:numFmt w:val="bullet"/>
      <w:lvlText w:val=""/>
      <w:lvlJc w:val="left"/>
      <w:pPr>
        <w:tabs>
          <w:tab w:val="num" w:pos="2880"/>
        </w:tabs>
        <w:ind w:left="2880" w:hanging="360"/>
      </w:pPr>
      <w:rPr>
        <w:rFonts w:ascii="Symbol" w:hAnsi="Symbol"/>
      </w:rPr>
    </w:lvl>
    <w:lvl w:ilvl="4" w:tplc="3BD00A7E">
      <w:start w:val="1"/>
      <w:numFmt w:val="bullet"/>
      <w:lvlText w:val="o"/>
      <w:lvlJc w:val="left"/>
      <w:pPr>
        <w:tabs>
          <w:tab w:val="num" w:pos="3600"/>
        </w:tabs>
        <w:ind w:left="3600" w:hanging="360"/>
      </w:pPr>
      <w:rPr>
        <w:rFonts w:ascii="Courier New" w:hAnsi="Courier New"/>
      </w:rPr>
    </w:lvl>
    <w:lvl w:ilvl="5" w:tplc="F35A6378">
      <w:start w:val="1"/>
      <w:numFmt w:val="bullet"/>
      <w:lvlText w:val=""/>
      <w:lvlJc w:val="left"/>
      <w:pPr>
        <w:tabs>
          <w:tab w:val="num" w:pos="4320"/>
        </w:tabs>
        <w:ind w:left="4320" w:hanging="360"/>
      </w:pPr>
      <w:rPr>
        <w:rFonts w:ascii="Wingdings" w:hAnsi="Wingdings"/>
      </w:rPr>
    </w:lvl>
    <w:lvl w:ilvl="6" w:tplc="7C2C041E">
      <w:start w:val="1"/>
      <w:numFmt w:val="bullet"/>
      <w:lvlText w:val=""/>
      <w:lvlJc w:val="left"/>
      <w:pPr>
        <w:tabs>
          <w:tab w:val="num" w:pos="5040"/>
        </w:tabs>
        <w:ind w:left="5040" w:hanging="360"/>
      </w:pPr>
      <w:rPr>
        <w:rFonts w:ascii="Symbol" w:hAnsi="Symbol"/>
      </w:rPr>
    </w:lvl>
    <w:lvl w:ilvl="7" w:tplc="6E9AA51A">
      <w:start w:val="1"/>
      <w:numFmt w:val="bullet"/>
      <w:lvlText w:val="o"/>
      <w:lvlJc w:val="left"/>
      <w:pPr>
        <w:tabs>
          <w:tab w:val="num" w:pos="5760"/>
        </w:tabs>
        <w:ind w:left="5760" w:hanging="360"/>
      </w:pPr>
      <w:rPr>
        <w:rFonts w:ascii="Courier New" w:hAnsi="Courier New"/>
      </w:rPr>
    </w:lvl>
    <w:lvl w:ilvl="8" w:tplc="420ADFAC">
      <w:start w:val="1"/>
      <w:numFmt w:val="bullet"/>
      <w:lvlText w:val=""/>
      <w:lvlJc w:val="left"/>
      <w:pPr>
        <w:tabs>
          <w:tab w:val="num" w:pos="6480"/>
        </w:tabs>
        <w:ind w:left="6480" w:hanging="360"/>
      </w:pPr>
      <w:rPr>
        <w:rFonts w:ascii="Wingdings" w:hAnsi="Wingdings"/>
      </w:rPr>
    </w:lvl>
  </w:abstractNum>
  <w:abstractNum w:abstractNumId="48">
    <w:nsid w:val="722304F2"/>
    <w:multiLevelType w:val="hybridMultilevel"/>
    <w:tmpl w:val="722304F2"/>
    <w:lvl w:ilvl="0" w:tplc="4E5A45BA">
      <w:start w:val="1"/>
      <w:numFmt w:val="bullet"/>
      <w:lvlText w:val=""/>
      <w:lvlJc w:val="left"/>
      <w:pPr>
        <w:ind w:left="720" w:hanging="360"/>
      </w:pPr>
      <w:rPr>
        <w:rFonts w:ascii="Symbol" w:hAnsi="Symbol"/>
      </w:rPr>
    </w:lvl>
    <w:lvl w:ilvl="1" w:tplc="6D3C2BDE">
      <w:start w:val="1"/>
      <w:numFmt w:val="bullet"/>
      <w:lvlText w:val="o"/>
      <w:lvlJc w:val="left"/>
      <w:pPr>
        <w:tabs>
          <w:tab w:val="num" w:pos="1440"/>
        </w:tabs>
        <w:ind w:left="1440" w:hanging="360"/>
      </w:pPr>
      <w:rPr>
        <w:rFonts w:ascii="Courier New" w:hAnsi="Courier New"/>
      </w:rPr>
    </w:lvl>
    <w:lvl w:ilvl="2" w:tplc="72DE50D8">
      <w:start w:val="1"/>
      <w:numFmt w:val="bullet"/>
      <w:lvlText w:val=""/>
      <w:lvlJc w:val="left"/>
      <w:pPr>
        <w:tabs>
          <w:tab w:val="num" w:pos="2160"/>
        </w:tabs>
        <w:ind w:left="2160" w:hanging="360"/>
      </w:pPr>
      <w:rPr>
        <w:rFonts w:ascii="Wingdings" w:hAnsi="Wingdings"/>
      </w:rPr>
    </w:lvl>
    <w:lvl w:ilvl="3" w:tplc="C18A41AC">
      <w:start w:val="1"/>
      <w:numFmt w:val="bullet"/>
      <w:lvlText w:val=""/>
      <w:lvlJc w:val="left"/>
      <w:pPr>
        <w:tabs>
          <w:tab w:val="num" w:pos="2880"/>
        </w:tabs>
        <w:ind w:left="2880" w:hanging="360"/>
      </w:pPr>
      <w:rPr>
        <w:rFonts w:ascii="Symbol" w:hAnsi="Symbol"/>
      </w:rPr>
    </w:lvl>
    <w:lvl w:ilvl="4" w:tplc="C3982D30">
      <w:start w:val="1"/>
      <w:numFmt w:val="bullet"/>
      <w:lvlText w:val="o"/>
      <w:lvlJc w:val="left"/>
      <w:pPr>
        <w:tabs>
          <w:tab w:val="num" w:pos="3600"/>
        </w:tabs>
        <w:ind w:left="3600" w:hanging="360"/>
      </w:pPr>
      <w:rPr>
        <w:rFonts w:ascii="Courier New" w:hAnsi="Courier New"/>
      </w:rPr>
    </w:lvl>
    <w:lvl w:ilvl="5" w:tplc="1200000E">
      <w:start w:val="1"/>
      <w:numFmt w:val="bullet"/>
      <w:lvlText w:val=""/>
      <w:lvlJc w:val="left"/>
      <w:pPr>
        <w:tabs>
          <w:tab w:val="num" w:pos="4320"/>
        </w:tabs>
        <w:ind w:left="4320" w:hanging="360"/>
      </w:pPr>
      <w:rPr>
        <w:rFonts w:ascii="Wingdings" w:hAnsi="Wingdings"/>
      </w:rPr>
    </w:lvl>
    <w:lvl w:ilvl="6" w:tplc="568EDE28">
      <w:start w:val="1"/>
      <w:numFmt w:val="bullet"/>
      <w:lvlText w:val=""/>
      <w:lvlJc w:val="left"/>
      <w:pPr>
        <w:tabs>
          <w:tab w:val="num" w:pos="5040"/>
        </w:tabs>
        <w:ind w:left="5040" w:hanging="360"/>
      </w:pPr>
      <w:rPr>
        <w:rFonts w:ascii="Symbol" w:hAnsi="Symbol"/>
      </w:rPr>
    </w:lvl>
    <w:lvl w:ilvl="7" w:tplc="687603FC">
      <w:start w:val="1"/>
      <w:numFmt w:val="bullet"/>
      <w:lvlText w:val="o"/>
      <w:lvlJc w:val="left"/>
      <w:pPr>
        <w:tabs>
          <w:tab w:val="num" w:pos="5760"/>
        </w:tabs>
        <w:ind w:left="5760" w:hanging="360"/>
      </w:pPr>
      <w:rPr>
        <w:rFonts w:ascii="Courier New" w:hAnsi="Courier New"/>
      </w:rPr>
    </w:lvl>
    <w:lvl w:ilvl="8" w:tplc="3BC204D8">
      <w:start w:val="1"/>
      <w:numFmt w:val="bullet"/>
      <w:lvlText w:val=""/>
      <w:lvlJc w:val="left"/>
      <w:pPr>
        <w:tabs>
          <w:tab w:val="num" w:pos="6480"/>
        </w:tabs>
        <w:ind w:left="6480" w:hanging="360"/>
      </w:pPr>
      <w:rPr>
        <w:rFonts w:ascii="Wingdings" w:hAnsi="Wingdings"/>
      </w:rPr>
    </w:lvl>
  </w:abstractNum>
  <w:abstractNum w:abstractNumId="49">
    <w:nsid w:val="722304F3"/>
    <w:multiLevelType w:val="multilevel"/>
    <w:tmpl w:val="722304F3"/>
    <w:lvl w:ilvl="0">
      <w:start w:val="1"/>
      <w:numFmt w:val="upperRoman"/>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
    <w:nsid w:val="722304F4"/>
    <w:multiLevelType w:val="hybridMultilevel"/>
    <w:tmpl w:val="722304F4"/>
    <w:lvl w:ilvl="0" w:tplc="58DEA77A">
      <w:start w:val="1"/>
      <w:numFmt w:val="bullet"/>
      <w:lvlText w:val=""/>
      <w:lvlJc w:val="left"/>
      <w:pPr>
        <w:ind w:left="720" w:hanging="360"/>
      </w:pPr>
      <w:rPr>
        <w:rFonts w:ascii="Symbol" w:hAnsi="Symbol"/>
      </w:rPr>
    </w:lvl>
    <w:lvl w:ilvl="1" w:tplc="8D428C94">
      <w:start w:val="1"/>
      <w:numFmt w:val="bullet"/>
      <w:lvlText w:val="o"/>
      <w:lvlJc w:val="left"/>
      <w:pPr>
        <w:tabs>
          <w:tab w:val="num" w:pos="1440"/>
        </w:tabs>
        <w:ind w:left="1440" w:hanging="360"/>
      </w:pPr>
      <w:rPr>
        <w:rFonts w:ascii="Courier New" w:hAnsi="Courier New"/>
      </w:rPr>
    </w:lvl>
    <w:lvl w:ilvl="2" w:tplc="9258D454">
      <w:start w:val="1"/>
      <w:numFmt w:val="bullet"/>
      <w:lvlText w:val=""/>
      <w:lvlJc w:val="left"/>
      <w:pPr>
        <w:tabs>
          <w:tab w:val="num" w:pos="2160"/>
        </w:tabs>
        <w:ind w:left="2160" w:hanging="360"/>
      </w:pPr>
      <w:rPr>
        <w:rFonts w:ascii="Wingdings" w:hAnsi="Wingdings"/>
      </w:rPr>
    </w:lvl>
    <w:lvl w:ilvl="3" w:tplc="1F3EFEC8">
      <w:start w:val="1"/>
      <w:numFmt w:val="bullet"/>
      <w:lvlText w:val=""/>
      <w:lvlJc w:val="left"/>
      <w:pPr>
        <w:tabs>
          <w:tab w:val="num" w:pos="2880"/>
        </w:tabs>
        <w:ind w:left="2880" w:hanging="360"/>
      </w:pPr>
      <w:rPr>
        <w:rFonts w:ascii="Symbol" w:hAnsi="Symbol"/>
      </w:rPr>
    </w:lvl>
    <w:lvl w:ilvl="4" w:tplc="F0AA29D0">
      <w:start w:val="1"/>
      <w:numFmt w:val="bullet"/>
      <w:lvlText w:val="o"/>
      <w:lvlJc w:val="left"/>
      <w:pPr>
        <w:tabs>
          <w:tab w:val="num" w:pos="3600"/>
        </w:tabs>
        <w:ind w:left="3600" w:hanging="360"/>
      </w:pPr>
      <w:rPr>
        <w:rFonts w:ascii="Courier New" w:hAnsi="Courier New"/>
      </w:rPr>
    </w:lvl>
    <w:lvl w:ilvl="5" w:tplc="533A5F66">
      <w:start w:val="1"/>
      <w:numFmt w:val="bullet"/>
      <w:lvlText w:val=""/>
      <w:lvlJc w:val="left"/>
      <w:pPr>
        <w:tabs>
          <w:tab w:val="num" w:pos="4320"/>
        </w:tabs>
        <w:ind w:left="4320" w:hanging="360"/>
      </w:pPr>
      <w:rPr>
        <w:rFonts w:ascii="Wingdings" w:hAnsi="Wingdings"/>
      </w:rPr>
    </w:lvl>
    <w:lvl w:ilvl="6" w:tplc="460E0CC0">
      <w:start w:val="1"/>
      <w:numFmt w:val="bullet"/>
      <w:lvlText w:val=""/>
      <w:lvlJc w:val="left"/>
      <w:pPr>
        <w:tabs>
          <w:tab w:val="num" w:pos="5040"/>
        </w:tabs>
        <w:ind w:left="5040" w:hanging="360"/>
      </w:pPr>
      <w:rPr>
        <w:rFonts w:ascii="Symbol" w:hAnsi="Symbol"/>
      </w:rPr>
    </w:lvl>
    <w:lvl w:ilvl="7" w:tplc="7A3260B4">
      <w:start w:val="1"/>
      <w:numFmt w:val="bullet"/>
      <w:lvlText w:val="o"/>
      <w:lvlJc w:val="left"/>
      <w:pPr>
        <w:tabs>
          <w:tab w:val="num" w:pos="5760"/>
        </w:tabs>
        <w:ind w:left="5760" w:hanging="360"/>
      </w:pPr>
      <w:rPr>
        <w:rFonts w:ascii="Courier New" w:hAnsi="Courier New"/>
      </w:rPr>
    </w:lvl>
    <w:lvl w:ilvl="8" w:tplc="641ACC92">
      <w:start w:val="1"/>
      <w:numFmt w:val="bullet"/>
      <w:lvlText w:val=""/>
      <w:lvlJc w:val="left"/>
      <w:pPr>
        <w:tabs>
          <w:tab w:val="num" w:pos="6480"/>
        </w:tabs>
        <w:ind w:left="6480" w:hanging="360"/>
      </w:pPr>
      <w:rPr>
        <w:rFonts w:ascii="Wingdings" w:hAnsi="Wingdings"/>
      </w:rPr>
    </w:lvl>
  </w:abstractNum>
  <w:abstractNum w:abstractNumId="51">
    <w:nsid w:val="722304F5"/>
    <w:multiLevelType w:val="multilevel"/>
    <w:tmpl w:val="722304F5"/>
    <w:lvl w:ilvl="0">
      <w:start w:val="1"/>
      <w:numFmt w:val="upperRoman"/>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nsid w:val="722304F6"/>
    <w:multiLevelType w:val="hybridMultilevel"/>
    <w:tmpl w:val="722304F6"/>
    <w:lvl w:ilvl="0" w:tplc="CAA6CECE">
      <w:start w:val="1"/>
      <w:numFmt w:val="bullet"/>
      <w:lvlText w:val=""/>
      <w:lvlJc w:val="left"/>
      <w:pPr>
        <w:ind w:left="720" w:hanging="360"/>
      </w:pPr>
      <w:rPr>
        <w:rFonts w:ascii="Symbol" w:hAnsi="Symbol"/>
      </w:rPr>
    </w:lvl>
    <w:lvl w:ilvl="1" w:tplc="41B29CD6">
      <w:start w:val="1"/>
      <w:numFmt w:val="bullet"/>
      <w:lvlText w:val="o"/>
      <w:lvlJc w:val="left"/>
      <w:pPr>
        <w:tabs>
          <w:tab w:val="num" w:pos="1440"/>
        </w:tabs>
        <w:ind w:left="1440" w:hanging="360"/>
      </w:pPr>
      <w:rPr>
        <w:rFonts w:ascii="Courier New" w:hAnsi="Courier New"/>
      </w:rPr>
    </w:lvl>
    <w:lvl w:ilvl="2" w:tplc="3956112A">
      <w:start w:val="1"/>
      <w:numFmt w:val="bullet"/>
      <w:lvlText w:val=""/>
      <w:lvlJc w:val="left"/>
      <w:pPr>
        <w:tabs>
          <w:tab w:val="num" w:pos="2160"/>
        </w:tabs>
        <w:ind w:left="2160" w:hanging="360"/>
      </w:pPr>
      <w:rPr>
        <w:rFonts w:ascii="Wingdings" w:hAnsi="Wingdings"/>
      </w:rPr>
    </w:lvl>
    <w:lvl w:ilvl="3" w:tplc="C204CE78">
      <w:start w:val="1"/>
      <w:numFmt w:val="bullet"/>
      <w:lvlText w:val=""/>
      <w:lvlJc w:val="left"/>
      <w:pPr>
        <w:tabs>
          <w:tab w:val="num" w:pos="2880"/>
        </w:tabs>
        <w:ind w:left="2880" w:hanging="360"/>
      </w:pPr>
      <w:rPr>
        <w:rFonts w:ascii="Symbol" w:hAnsi="Symbol"/>
      </w:rPr>
    </w:lvl>
    <w:lvl w:ilvl="4" w:tplc="85C8D95E">
      <w:start w:val="1"/>
      <w:numFmt w:val="bullet"/>
      <w:lvlText w:val="o"/>
      <w:lvlJc w:val="left"/>
      <w:pPr>
        <w:tabs>
          <w:tab w:val="num" w:pos="3600"/>
        </w:tabs>
        <w:ind w:left="3600" w:hanging="360"/>
      </w:pPr>
      <w:rPr>
        <w:rFonts w:ascii="Courier New" w:hAnsi="Courier New"/>
      </w:rPr>
    </w:lvl>
    <w:lvl w:ilvl="5" w:tplc="783631B0">
      <w:start w:val="1"/>
      <w:numFmt w:val="bullet"/>
      <w:lvlText w:val=""/>
      <w:lvlJc w:val="left"/>
      <w:pPr>
        <w:tabs>
          <w:tab w:val="num" w:pos="4320"/>
        </w:tabs>
        <w:ind w:left="4320" w:hanging="360"/>
      </w:pPr>
      <w:rPr>
        <w:rFonts w:ascii="Wingdings" w:hAnsi="Wingdings"/>
      </w:rPr>
    </w:lvl>
    <w:lvl w:ilvl="6" w:tplc="ADE0081C">
      <w:start w:val="1"/>
      <w:numFmt w:val="bullet"/>
      <w:lvlText w:val=""/>
      <w:lvlJc w:val="left"/>
      <w:pPr>
        <w:tabs>
          <w:tab w:val="num" w:pos="5040"/>
        </w:tabs>
        <w:ind w:left="5040" w:hanging="360"/>
      </w:pPr>
      <w:rPr>
        <w:rFonts w:ascii="Symbol" w:hAnsi="Symbol"/>
      </w:rPr>
    </w:lvl>
    <w:lvl w:ilvl="7" w:tplc="7E1A2E92">
      <w:start w:val="1"/>
      <w:numFmt w:val="bullet"/>
      <w:lvlText w:val="o"/>
      <w:lvlJc w:val="left"/>
      <w:pPr>
        <w:tabs>
          <w:tab w:val="num" w:pos="5760"/>
        </w:tabs>
        <w:ind w:left="5760" w:hanging="360"/>
      </w:pPr>
      <w:rPr>
        <w:rFonts w:ascii="Courier New" w:hAnsi="Courier New"/>
      </w:rPr>
    </w:lvl>
    <w:lvl w:ilvl="8" w:tplc="F89AD8BE">
      <w:start w:val="1"/>
      <w:numFmt w:val="bullet"/>
      <w:lvlText w:val=""/>
      <w:lvlJc w:val="left"/>
      <w:pPr>
        <w:tabs>
          <w:tab w:val="num" w:pos="6480"/>
        </w:tabs>
        <w:ind w:left="6480" w:hanging="360"/>
      </w:pPr>
      <w:rPr>
        <w:rFonts w:ascii="Wingdings" w:hAnsi="Wingdings"/>
      </w:rPr>
    </w:lvl>
  </w:abstractNum>
  <w:abstractNum w:abstractNumId="53">
    <w:nsid w:val="722304F7"/>
    <w:multiLevelType w:val="multilevel"/>
    <w:tmpl w:val="722304F7"/>
    <w:lvl w:ilvl="0">
      <w:start w:val="1"/>
      <w:numFmt w:val="upperRoman"/>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nsid w:val="722304F8"/>
    <w:multiLevelType w:val="hybridMultilevel"/>
    <w:tmpl w:val="722304F8"/>
    <w:lvl w:ilvl="0" w:tplc="8A06AE18">
      <w:start w:val="1"/>
      <w:numFmt w:val="bullet"/>
      <w:lvlText w:val=""/>
      <w:lvlJc w:val="left"/>
      <w:pPr>
        <w:ind w:left="720" w:hanging="360"/>
      </w:pPr>
      <w:rPr>
        <w:rFonts w:ascii="Symbol" w:hAnsi="Symbol"/>
      </w:rPr>
    </w:lvl>
    <w:lvl w:ilvl="1" w:tplc="70D2A09E">
      <w:start w:val="1"/>
      <w:numFmt w:val="bullet"/>
      <w:lvlText w:val="o"/>
      <w:lvlJc w:val="left"/>
      <w:pPr>
        <w:tabs>
          <w:tab w:val="num" w:pos="1440"/>
        </w:tabs>
        <w:ind w:left="1440" w:hanging="360"/>
      </w:pPr>
      <w:rPr>
        <w:rFonts w:ascii="Courier New" w:hAnsi="Courier New"/>
      </w:rPr>
    </w:lvl>
    <w:lvl w:ilvl="2" w:tplc="609CCD88">
      <w:start w:val="1"/>
      <w:numFmt w:val="bullet"/>
      <w:lvlText w:val=""/>
      <w:lvlJc w:val="left"/>
      <w:pPr>
        <w:tabs>
          <w:tab w:val="num" w:pos="2160"/>
        </w:tabs>
        <w:ind w:left="2160" w:hanging="360"/>
      </w:pPr>
      <w:rPr>
        <w:rFonts w:ascii="Wingdings" w:hAnsi="Wingdings"/>
      </w:rPr>
    </w:lvl>
    <w:lvl w:ilvl="3" w:tplc="70527546">
      <w:start w:val="1"/>
      <w:numFmt w:val="bullet"/>
      <w:lvlText w:val=""/>
      <w:lvlJc w:val="left"/>
      <w:pPr>
        <w:tabs>
          <w:tab w:val="num" w:pos="2880"/>
        </w:tabs>
        <w:ind w:left="2880" w:hanging="360"/>
      </w:pPr>
      <w:rPr>
        <w:rFonts w:ascii="Symbol" w:hAnsi="Symbol"/>
      </w:rPr>
    </w:lvl>
    <w:lvl w:ilvl="4" w:tplc="903CEC44">
      <w:start w:val="1"/>
      <w:numFmt w:val="bullet"/>
      <w:lvlText w:val="o"/>
      <w:lvlJc w:val="left"/>
      <w:pPr>
        <w:tabs>
          <w:tab w:val="num" w:pos="3600"/>
        </w:tabs>
        <w:ind w:left="3600" w:hanging="360"/>
      </w:pPr>
      <w:rPr>
        <w:rFonts w:ascii="Courier New" w:hAnsi="Courier New"/>
      </w:rPr>
    </w:lvl>
    <w:lvl w:ilvl="5" w:tplc="71F8D77C">
      <w:start w:val="1"/>
      <w:numFmt w:val="bullet"/>
      <w:lvlText w:val=""/>
      <w:lvlJc w:val="left"/>
      <w:pPr>
        <w:tabs>
          <w:tab w:val="num" w:pos="4320"/>
        </w:tabs>
        <w:ind w:left="4320" w:hanging="360"/>
      </w:pPr>
      <w:rPr>
        <w:rFonts w:ascii="Wingdings" w:hAnsi="Wingdings"/>
      </w:rPr>
    </w:lvl>
    <w:lvl w:ilvl="6" w:tplc="2FEA8350">
      <w:start w:val="1"/>
      <w:numFmt w:val="bullet"/>
      <w:lvlText w:val=""/>
      <w:lvlJc w:val="left"/>
      <w:pPr>
        <w:tabs>
          <w:tab w:val="num" w:pos="5040"/>
        </w:tabs>
        <w:ind w:left="5040" w:hanging="360"/>
      </w:pPr>
      <w:rPr>
        <w:rFonts w:ascii="Symbol" w:hAnsi="Symbol"/>
      </w:rPr>
    </w:lvl>
    <w:lvl w:ilvl="7" w:tplc="273A6818">
      <w:start w:val="1"/>
      <w:numFmt w:val="bullet"/>
      <w:lvlText w:val="o"/>
      <w:lvlJc w:val="left"/>
      <w:pPr>
        <w:tabs>
          <w:tab w:val="num" w:pos="5760"/>
        </w:tabs>
        <w:ind w:left="5760" w:hanging="360"/>
      </w:pPr>
      <w:rPr>
        <w:rFonts w:ascii="Courier New" w:hAnsi="Courier New"/>
      </w:rPr>
    </w:lvl>
    <w:lvl w:ilvl="8" w:tplc="D042FC7C">
      <w:start w:val="1"/>
      <w:numFmt w:val="bullet"/>
      <w:lvlText w:val=""/>
      <w:lvlJc w:val="left"/>
      <w:pPr>
        <w:tabs>
          <w:tab w:val="num" w:pos="6480"/>
        </w:tabs>
        <w:ind w:left="6480" w:hanging="360"/>
      </w:pPr>
      <w:rPr>
        <w:rFonts w:ascii="Wingdings" w:hAnsi="Wingdings"/>
      </w:rPr>
    </w:lvl>
  </w:abstractNum>
  <w:abstractNum w:abstractNumId="55">
    <w:nsid w:val="722304F9"/>
    <w:multiLevelType w:val="multilevel"/>
    <w:tmpl w:val="722304F9"/>
    <w:lvl w:ilvl="0">
      <w:start w:val="1"/>
      <w:numFmt w:val="upperRoman"/>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nsid w:val="722304FA"/>
    <w:multiLevelType w:val="hybridMultilevel"/>
    <w:tmpl w:val="722304FA"/>
    <w:lvl w:ilvl="0" w:tplc="B5005A9C">
      <w:start w:val="1"/>
      <w:numFmt w:val="bullet"/>
      <w:lvlText w:val=""/>
      <w:lvlJc w:val="left"/>
      <w:pPr>
        <w:ind w:left="720" w:hanging="360"/>
      </w:pPr>
      <w:rPr>
        <w:rFonts w:ascii="Symbol" w:hAnsi="Symbol"/>
      </w:rPr>
    </w:lvl>
    <w:lvl w:ilvl="1" w:tplc="8F76263E">
      <w:start w:val="1"/>
      <w:numFmt w:val="bullet"/>
      <w:lvlText w:val="o"/>
      <w:lvlJc w:val="left"/>
      <w:pPr>
        <w:tabs>
          <w:tab w:val="num" w:pos="1440"/>
        </w:tabs>
        <w:ind w:left="1440" w:hanging="360"/>
      </w:pPr>
      <w:rPr>
        <w:rFonts w:ascii="Courier New" w:hAnsi="Courier New"/>
      </w:rPr>
    </w:lvl>
    <w:lvl w:ilvl="2" w:tplc="8220AB84">
      <w:start w:val="1"/>
      <w:numFmt w:val="bullet"/>
      <w:lvlText w:val=""/>
      <w:lvlJc w:val="left"/>
      <w:pPr>
        <w:tabs>
          <w:tab w:val="num" w:pos="2160"/>
        </w:tabs>
        <w:ind w:left="2160" w:hanging="360"/>
      </w:pPr>
      <w:rPr>
        <w:rFonts w:ascii="Wingdings" w:hAnsi="Wingdings"/>
      </w:rPr>
    </w:lvl>
    <w:lvl w:ilvl="3" w:tplc="53AC52EE">
      <w:start w:val="1"/>
      <w:numFmt w:val="bullet"/>
      <w:lvlText w:val=""/>
      <w:lvlJc w:val="left"/>
      <w:pPr>
        <w:tabs>
          <w:tab w:val="num" w:pos="2880"/>
        </w:tabs>
        <w:ind w:left="2880" w:hanging="360"/>
      </w:pPr>
      <w:rPr>
        <w:rFonts w:ascii="Symbol" w:hAnsi="Symbol"/>
      </w:rPr>
    </w:lvl>
    <w:lvl w:ilvl="4" w:tplc="09A8B6DC">
      <w:start w:val="1"/>
      <w:numFmt w:val="bullet"/>
      <w:lvlText w:val="o"/>
      <w:lvlJc w:val="left"/>
      <w:pPr>
        <w:tabs>
          <w:tab w:val="num" w:pos="3600"/>
        </w:tabs>
        <w:ind w:left="3600" w:hanging="360"/>
      </w:pPr>
      <w:rPr>
        <w:rFonts w:ascii="Courier New" w:hAnsi="Courier New"/>
      </w:rPr>
    </w:lvl>
    <w:lvl w:ilvl="5" w:tplc="B2F01466">
      <w:start w:val="1"/>
      <w:numFmt w:val="bullet"/>
      <w:lvlText w:val=""/>
      <w:lvlJc w:val="left"/>
      <w:pPr>
        <w:tabs>
          <w:tab w:val="num" w:pos="4320"/>
        </w:tabs>
        <w:ind w:left="4320" w:hanging="360"/>
      </w:pPr>
      <w:rPr>
        <w:rFonts w:ascii="Wingdings" w:hAnsi="Wingdings"/>
      </w:rPr>
    </w:lvl>
    <w:lvl w:ilvl="6" w:tplc="DC3A24C2">
      <w:start w:val="1"/>
      <w:numFmt w:val="bullet"/>
      <w:lvlText w:val=""/>
      <w:lvlJc w:val="left"/>
      <w:pPr>
        <w:tabs>
          <w:tab w:val="num" w:pos="5040"/>
        </w:tabs>
        <w:ind w:left="5040" w:hanging="360"/>
      </w:pPr>
      <w:rPr>
        <w:rFonts w:ascii="Symbol" w:hAnsi="Symbol"/>
      </w:rPr>
    </w:lvl>
    <w:lvl w:ilvl="7" w:tplc="7DD6EDE4">
      <w:start w:val="1"/>
      <w:numFmt w:val="bullet"/>
      <w:lvlText w:val="o"/>
      <w:lvlJc w:val="left"/>
      <w:pPr>
        <w:tabs>
          <w:tab w:val="num" w:pos="5760"/>
        </w:tabs>
        <w:ind w:left="5760" w:hanging="360"/>
      </w:pPr>
      <w:rPr>
        <w:rFonts w:ascii="Courier New" w:hAnsi="Courier New"/>
      </w:rPr>
    </w:lvl>
    <w:lvl w:ilvl="8" w:tplc="FA9CD560">
      <w:start w:val="1"/>
      <w:numFmt w:val="bullet"/>
      <w:lvlText w:val=""/>
      <w:lvlJc w:val="left"/>
      <w:pPr>
        <w:tabs>
          <w:tab w:val="num" w:pos="6480"/>
        </w:tabs>
        <w:ind w:left="6480" w:hanging="360"/>
      </w:pPr>
      <w:rPr>
        <w:rFonts w:ascii="Wingdings" w:hAnsi="Wingdings"/>
      </w:rPr>
    </w:lvl>
  </w:abstractNum>
  <w:abstractNum w:abstractNumId="57">
    <w:nsid w:val="722304FB"/>
    <w:multiLevelType w:val="hybridMultilevel"/>
    <w:tmpl w:val="722304FB"/>
    <w:lvl w:ilvl="0" w:tplc="5B14946E">
      <w:start w:val="1"/>
      <w:numFmt w:val="bullet"/>
      <w:lvlText w:val=""/>
      <w:lvlJc w:val="left"/>
      <w:pPr>
        <w:ind w:left="720" w:hanging="360"/>
      </w:pPr>
      <w:rPr>
        <w:rFonts w:ascii="Symbol" w:hAnsi="Symbol"/>
      </w:rPr>
    </w:lvl>
    <w:lvl w:ilvl="1" w:tplc="BDC49498">
      <w:start w:val="1"/>
      <w:numFmt w:val="bullet"/>
      <w:lvlText w:val="o"/>
      <w:lvlJc w:val="left"/>
      <w:pPr>
        <w:tabs>
          <w:tab w:val="num" w:pos="1440"/>
        </w:tabs>
        <w:ind w:left="1440" w:hanging="360"/>
      </w:pPr>
      <w:rPr>
        <w:rFonts w:ascii="Courier New" w:hAnsi="Courier New"/>
      </w:rPr>
    </w:lvl>
    <w:lvl w:ilvl="2" w:tplc="F9D4EABA">
      <w:start w:val="1"/>
      <w:numFmt w:val="bullet"/>
      <w:lvlText w:val=""/>
      <w:lvlJc w:val="left"/>
      <w:pPr>
        <w:tabs>
          <w:tab w:val="num" w:pos="2160"/>
        </w:tabs>
        <w:ind w:left="2160" w:hanging="360"/>
      </w:pPr>
      <w:rPr>
        <w:rFonts w:ascii="Wingdings" w:hAnsi="Wingdings"/>
      </w:rPr>
    </w:lvl>
    <w:lvl w:ilvl="3" w:tplc="9C6C82FE">
      <w:start w:val="1"/>
      <w:numFmt w:val="bullet"/>
      <w:lvlText w:val=""/>
      <w:lvlJc w:val="left"/>
      <w:pPr>
        <w:tabs>
          <w:tab w:val="num" w:pos="2880"/>
        </w:tabs>
        <w:ind w:left="2880" w:hanging="360"/>
      </w:pPr>
      <w:rPr>
        <w:rFonts w:ascii="Symbol" w:hAnsi="Symbol"/>
      </w:rPr>
    </w:lvl>
    <w:lvl w:ilvl="4" w:tplc="EF24D510">
      <w:start w:val="1"/>
      <w:numFmt w:val="bullet"/>
      <w:lvlText w:val="o"/>
      <w:lvlJc w:val="left"/>
      <w:pPr>
        <w:tabs>
          <w:tab w:val="num" w:pos="3600"/>
        </w:tabs>
        <w:ind w:left="3600" w:hanging="360"/>
      </w:pPr>
      <w:rPr>
        <w:rFonts w:ascii="Courier New" w:hAnsi="Courier New"/>
      </w:rPr>
    </w:lvl>
    <w:lvl w:ilvl="5" w:tplc="8412119A">
      <w:start w:val="1"/>
      <w:numFmt w:val="bullet"/>
      <w:lvlText w:val=""/>
      <w:lvlJc w:val="left"/>
      <w:pPr>
        <w:tabs>
          <w:tab w:val="num" w:pos="4320"/>
        </w:tabs>
        <w:ind w:left="4320" w:hanging="360"/>
      </w:pPr>
      <w:rPr>
        <w:rFonts w:ascii="Wingdings" w:hAnsi="Wingdings"/>
      </w:rPr>
    </w:lvl>
    <w:lvl w:ilvl="6" w:tplc="C01C8DB0">
      <w:start w:val="1"/>
      <w:numFmt w:val="bullet"/>
      <w:lvlText w:val=""/>
      <w:lvlJc w:val="left"/>
      <w:pPr>
        <w:tabs>
          <w:tab w:val="num" w:pos="5040"/>
        </w:tabs>
        <w:ind w:left="5040" w:hanging="360"/>
      </w:pPr>
      <w:rPr>
        <w:rFonts w:ascii="Symbol" w:hAnsi="Symbol"/>
      </w:rPr>
    </w:lvl>
    <w:lvl w:ilvl="7" w:tplc="0E32FDCE">
      <w:start w:val="1"/>
      <w:numFmt w:val="bullet"/>
      <w:lvlText w:val="o"/>
      <w:lvlJc w:val="left"/>
      <w:pPr>
        <w:tabs>
          <w:tab w:val="num" w:pos="5760"/>
        </w:tabs>
        <w:ind w:left="5760" w:hanging="360"/>
      </w:pPr>
      <w:rPr>
        <w:rFonts w:ascii="Courier New" w:hAnsi="Courier New"/>
      </w:rPr>
    </w:lvl>
    <w:lvl w:ilvl="8" w:tplc="5E64792E">
      <w:start w:val="1"/>
      <w:numFmt w:val="bullet"/>
      <w:lvlText w:val=""/>
      <w:lvlJc w:val="left"/>
      <w:pPr>
        <w:tabs>
          <w:tab w:val="num" w:pos="6480"/>
        </w:tabs>
        <w:ind w:left="6480" w:hanging="360"/>
      </w:pPr>
      <w:rPr>
        <w:rFonts w:ascii="Wingdings" w:hAnsi="Wingdings"/>
      </w:rPr>
    </w:lvl>
  </w:abstractNum>
  <w:abstractNum w:abstractNumId="58">
    <w:nsid w:val="722304FC"/>
    <w:multiLevelType w:val="hybridMultilevel"/>
    <w:tmpl w:val="722304FC"/>
    <w:lvl w:ilvl="0" w:tplc="D286D5E0">
      <w:start w:val="1"/>
      <w:numFmt w:val="bullet"/>
      <w:lvlText w:val=""/>
      <w:lvlJc w:val="left"/>
      <w:pPr>
        <w:ind w:left="720" w:hanging="360"/>
      </w:pPr>
      <w:rPr>
        <w:rFonts w:ascii="Symbol" w:hAnsi="Symbol"/>
      </w:rPr>
    </w:lvl>
    <w:lvl w:ilvl="1" w:tplc="9E10730A">
      <w:start w:val="1"/>
      <w:numFmt w:val="bullet"/>
      <w:lvlText w:val="o"/>
      <w:lvlJc w:val="left"/>
      <w:pPr>
        <w:tabs>
          <w:tab w:val="num" w:pos="1440"/>
        </w:tabs>
        <w:ind w:left="1440" w:hanging="360"/>
      </w:pPr>
      <w:rPr>
        <w:rFonts w:ascii="Courier New" w:hAnsi="Courier New"/>
      </w:rPr>
    </w:lvl>
    <w:lvl w:ilvl="2" w:tplc="DBB65CDA">
      <w:start w:val="1"/>
      <w:numFmt w:val="bullet"/>
      <w:lvlText w:val=""/>
      <w:lvlJc w:val="left"/>
      <w:pPr>
        <w:tabs>
          <w:tab w:val="num" w:pos="2160"/>
        </w:tabs>
        <w:ind w:left="2160" w:hanging="360"/>
      </w:pPr>
      <w:rPr>
        <w:rFonts w:ascii="Wingdings" w:hAnsi="Wingdings"/>
      </w:rPr>
    </w:lvl>
    <w:lvl w:ilvl="3" w:tplc="71D8D0D0">
      <w:start w:val="1"/>
      <w:numFmt w:val="bullet"/>
      <w:lvlText w:val=""/>
      <w:lvlJc w:val="left"/>
      <w:pPr>
        <w:tabs>
          <w:tab w:val="num" w:pos="2880"/>
        </w:tabs>
        <w:ind w:left="2880" w:hanging="360"/>
      </w:pPr>
      <w:rPr>
        <w:rFonts w:ascii="Symbol" w:hAnsi="Symbol"/>
      </w:rPr>
    </w:lvl>
    <w:lvl w:ilvl="4" w:tplc="6BF28A5E">
      <w:start w:val="1"/>
      <w:numFmt w:val="bullet"/>
      <w:lvlText w:val="o"/>
      <w:lvlJc w:val="left"/>
      <w:pPr>
        <w:tabs>
          <w:tab w:val="num" w:pos="3600"/>
        </w:tabs>
        <w:ind w:left="3600" w:hanging="360"/>
      </w:pPr>
      <w:rPr>
        <w:rFonts w:ascii="Courier New" w:hAnsi="Courier New"/>
      </w:rPr>
    </w:lvl>
    <w:lvl w:ilvl="5" w:tplc="CC2404EA">
      <w:start w:val="1"/>
      <w:numFmt w:val="bullet"/>
      <w:lvlText w:val=""/>
      <w:lvlJc w:val="left"/>
      <w:pPr>
        <w:tabs>
          <w:tab w:val="num" w:pos="4320"/>
        </w:tabs>
        <w:ind w:left="4320" w:hanging="360"/>
      </w:pPr>
      <w:rPr>
        <w:rFonts w:ascii="Wingdings" w:hAnsi="Wingdings"/>
      </w:rPr>
    </w:lvl>
    <w:lvl w:ilvl="6" w:tplc="E952883A">
      <w:start w:val="1"/>
      <w:numFmt w:val="bullet"/>
      <w:lvlText w:val=""/>
      <w:lvlJc w:val="left"/>
      <w:pPr>
        <w:tabs>
          <w:tab w:val="num" w:pos="5040"/>
        </w:tabs>
        <w:ind w:left="5040" w:hanging="360"/>
      </w:pPr>
      <w:rPr>
        <w:rFonts w:ascii="Symbol" w:hAnsi="Symbol"/>
      </w:rPr>
    </w:lvl>
    <w:lvl w:ilvl="7" w:tplc="7E6C63B0">
      <w:start w:val="1"/>
      <w:numFmt w:val="bullet"/>
      <w:lvlText w:val="o"/>
      <w:lvlJc w:val="left"/>
      <w:pPr>
        <w:tabs>
          <w:tab w:val="num" w:pos="5760"/>
        </w:tabs>
        <w:ind w:left="5760" w:hanging="360"/>
      </w:pPr>
      <w:rPr>
        <w:rFonts w:ascii="Courier New" w:hAnsi="Courier New"/>
      </w:rPr>
    </w:lvl>
    <w:lvl w:ilvl="8" w:tplc="EEE2E4EA">
      <w:start w:val="1"/>
      <w:numFmt w:val="bullet"/>
      <w:lvlText w:val=""/>
      <w:lvlJc w:val="left"/>
      <w:pPr>
        <w:tabs>
          <w:tab w:val="num" w:pos="6480"/>
        </w:tabs>
        <w:ind w:left="6480" w:hanging="360"/>
      </w:pPr>
      <w:rPr>
        <w:rFonts w:ascii="Wingdings" w:hAnsi="Wingdings"/>
      </w:rPr>
    </w:lvl>
  </w:abstractNum>
  <w:abstractNum w:abstractNumId="59">
    <w:nsid w:val="722304FD"/>
    <w:multiLevelType w:val="hybridMultilevel"/>
    <w:tmpl w:val="722304FD"/>
    <w:lvl w:ilvl="0" w:tplc="D95C3CB4">
      <w:start w:val="1"/>
      <w:numFmt w:val="bullet"/>
      <w:lvlText w:val=""/>
      <w:lvlJc w:val="left"/>
      <w:pPr>
        <w:ind w:left="720" w:hanging="360"/>
      </w:pPr>
      <w:rPr>
        <w:rFonts w:ascii="Symbol" w:hAnsi="Symbol"/>
      </w:rPr>
    </w:lvl>
    <w:lvl w:ilvl="1" w:tplc="28D4B87C">
      <w:start w:val="1"/>
      <w:numFmt w:val="bullet"/>
      <w:lvlText w:val="o"/>
      <w:lvlJc w:val="left"/>
      <w:pPr>
        <w:tabs>
          <w:tab w:val="num" w:pos="1440"/>
        </w:tabs>
        <w:ind w:left="1440" w:hanging="360"/>
      </w:pPr>
      <w:rPr>
        <w:rFonts w:ascii="Courier New" w:hAnsi="Courier New"/>
      </w:rPr>
    </w:lvl>
    <w:lvl w:ilvl="2" w:tplc="0016B1E4">
      <w:start w:val="1"/>
      <w:numFmt w:val="bullet"/>
      <w:lvlText w:val=""/>
      <w:lvlJc w:val="left"/>
      <w:pPr>
        <w:tabs>
          <w:tab w:val="num" w:pos="2160"/>
        </w:tabs>
        <w:ind w:left="2160" w:hanging="360"/>
      </w:pPr>
      <w:rPr>
        <w:rFonts w:ascii="Wingdings" w:hAnsi="Wingdings"/>
      </w:rPr>
    </w:lvl>
    <w:lvl w:ilvl="3" w:tplc="2878D3EC">
      <w:start w:val="1"/>
      <w:numFmt w:val="bullet"/>
      <w:lvlText w:val=""/>
      <w:lvlJc w:val="left"/>
      <w:pPr>
        <w:tabs>
          <w:tab w:val="num" w:pos="2880"/>
        </w:tabs>
        <w:ind w:left="2880" w:hanging="360"/>
      </w:pPr>
      <w:rPr>
        <w:rFonts w:ascii="Symbol" w:hAnsi="Symbol"/>
      </w:rPr>
    </w:lvl>
    <w:lvl w:ilvl="4" w:tplc="8E6C305E">
      <w:start w:val="1"/>
      <w:numFmt w:val="bullet"/>
      <w:lvlText w:val="o"/>
      <w:lvlJc w:val="left"/>
      <w:pPr>
        <w:tabs>
          <w:tab w:val="num" w:pos="3600"/>
        </w:tabs>
        <w:ind w:left="3600" w:hanging="360"/>
      </w:pPr>
      <w:rPr>
        <w:rFonts w:ascii="Courier New" w:hAnsi="Courier New"/>
      </w:rPr>
    </w:lvl>
    <w:lvl w:ilvl="5" w:tplc="CF1E3544">
      <w:start w:val="1"/>
      <w:numFmt w:val="bullet"/>
      <w:lvlText w:val=""/>
      <w:lvlJc w:val="left"/>
      <w:pPr>
        <w:tabs>
          <w:tab w:val="num" w:pos="4320"/>
        </w:tabs>
        <w:ind w:left="4320" w:hanging="360"/>
      </w:pPr>
      <w:rPr>
        <w:rFonts w:ascii="Wingdings" w:hAnsi="Wingdings"/>
      </w:rPr>
    </w:lvl>
    <w:lvl w:ilvl="6" w:tplc="D586015E">
      <w:start w:val="1"/>
      <w:numFmt w:val="bullet"/>
      <w:lvlText w:val=""/>
      <w:lvlJc w:val="left"/>
      <w:pPr>
        <w:tabs>
          <w:tab w:val="num" w:pos="5040"/>
        </w:tabs>
        <w:ind w:left="5040" w:hanging="360"/>
      </w:pPr>
      <w:rPr>
        <w:rFonts w:ascii="Symbol" w:hAnsi="Symbol"/>
      </w:rPr>
    </w:lvl>
    <w:lvl w:ilvl="7" w:tplc="EF482A3C">
      <w:start w:val="1"/>
      <w:numFmt w:val="bullet"/>
      <w:lvlText w:val="o"/>
      <w:lvlJc w:val="left"/>
      <w:pPr>
        <w:tabs>
          <w:tab w:val="num" w:pos="5760"/>
        </w:tabs>
        <w:ind w:left="5760" w:hanging="360"/>
      </w:pPr>
      <w:rPr>
        <w:rFonts w:ascii="Courier New" w:hAnsi="Courier New"/>
      </w:rPr>
    </w:lvl>
    <w:lvl w:ilvl="8" w:tplc="8F8A0CF4">
      <w:start w:val="1"/>
      <w:numFmt w:val="bullet"/>
      <w:lvlText w:val=""/>
      <w:lvlJc w:val="left"/>
      <w:pPr>
        <w:tabs>
          <w:tab w:val="num" w:pos="6480"/>
        </w:tabs>
        <w:ind w:left="6480" w:hanging="360"/>
      </w:pPr>
      <w:rPr>
        <w:rFonts w:ascii="Wingdings" w:hAnsi="Wingdings"/>
      </w:rPr>
    </w:lvl>
  </w:abstractNum>
  <w:abstractNum w:abstractNumId="60">
    <w:nsid w:val="722304FE"/>
    <w:multiLevelType w:val="hybridMultilevel"/>
    <w:tmpl w:val="722304FE"/>
    <w:lvl w:ilvl="0" w:tplc="A60A7CAA">
      <w:start w:val="1"/>
      <w:numFmt w:val="bullet"/>
      <w:lvlText w:val=""/>
      <w:lvlJc w:val="left"/>
      <w:pPr>
        <w:ind w:left="720" w:hanging="360"/>
      </w:pPr>
      <w:rPr>
        <w:rFonts w:ascii="Symbol" w:hAnsi="Symbol"/>
      </w:rPr>
    </w:lvl>
    <w:lvl w:ilvl="1" w:tplc="0BEA59B4">
      <w:start w:val="1"/>
      <w:numFmt w:val="bullet"/>
      <w:lvlText w:val="o"/>
      <w:lvlJc w:val="left"/>
      <w:pPr>
        <w:tabs>
          <w:tab w:val="num" w:pos="1440"/>
        </w:tabs>
        <w:ind w:left="1440" w:hanging="360"/>
      </w:pPr>
      <w:rPr>
        <w:rFonts w:ascii="Courier New" w:hAnsi="Courier New"/>
      </w:rPr>
    </w:lvl>
    <w:lvl w:ilvl="2" w:tplc="DC8EECE8">
      <w:start w:val="1"/>
      <w:numFmt w:val="bullet"/>
      <w:lvlText w:val=""/>
      <w:lvlJc w:val="left"/>
      <w:pPr>
        <w:tabs>
          <w:tab w:val="num" w:pos="2160"/>
        </w:tabs>
        <w:ind w:left="2160" w:hanging="360"/>
      </w:pPr>
      <w:rPr>
        <w:rFonts w:ascii="Wingdings" w:hAnsi="Wingdings"/>
      </w:rPr>
    </w:lvl>
    <w:lvl w:ilvl="3" w:tplc="15A6CCBC">
      <w:start w:val="1"/>
      <w:numFmt w:val="bullet"/>
      <w:lvlText w:val=""/>
      <w:lvlJc w:val="left"/>
      <w:pPr>
        <w:tabs>
          <w:tab w:val="num" w:pos="2880"/>
        </w:tabs>
        <w:ind w:left="2880" w:hanging="360"/>
      </w:pPr>
      <w:rPr>
        <w:rFonts w:ascii="Symbol" w:hAnsi="Symbol"/>
      </w:rPr>
    </w:lvl>
    <w:lvl w:ilvl="4" w:tplc="BF548A84">
      <w:start w:val="1"/>
      <w:numFmt w:val="bullet"/>
      <w:lvlText w:val="o"/>
      <w:lvlJc w:val="left"/>
      <w:pPr>
        <w:tabs>
          <w:tab w:val="num" w:pos="3600"/>
        </w:tabs>
        <w:ind w:left="3600" w:hanging="360"/>
      </w:pPr>
      <w:rPr>
        <w:rFonts w:ascii="Courier New" w:hAnsi="Courier New"/>
      </w:rPr>
    </w:lvl>
    <w:lvl w:ilvl="5" w:tplc="8EFA88E4">
      <w:start w:val="1"/>
      <w:numFmt w:val="bullet"/>
      <w:lvlText w:val=""/>
      <w:lvlJc w:val="left"/>
      <w:pPr>
        <w:tabs>
          <w:tab w:val="num" w:pos="4320"/>
        </w:tabs>
        <w:ind w:left="4320" w:hanging="360"/>
      </w:pPr>
      <w:rPr>
        <w:rFonts w:ascii="Wingdings" w:hAnsi="Wingdings"/>
      </w:rPr>
    </w:lvl>
    <w:lvl w:ilvl="6" w:tplc="011C0554">
      <w:start w:val="1"/>
      <w:numFmt w:val="bullet"/>
      <w:lvlText w:val=""/>
      <w:lvlJc w:val="left"/>
      <w:pPr>
        <w:tabs>
          <w:tab w:val="num" w:pos="5040"/>
        </w:tabs>
        <w:ind w:left="5040" w:hanging="360"/>
      </w:pPr>
      <w:rPr>
        <w:rFonts w:ascii="Symbol" w:hAnsi="Symbol"/>
      </w:rPr>
    </w:lvl>
    <w:lvl w:ilvl="7" w:tplc="D098EF8C">
      <w:start w:val="1"/>
      <w:numFmt w:val="bullet"/>
      <w:lvlText w:val="o"/>
      <w:lvlJc w:val="left"/>
      <w:pPr>
        <w:tabs>
          <w:tab w:val="num" w:pos="5760"/>
        </w:tabs>
        <w:ind w:left="5760" w:hanging="360"/>
      </w:pPr>
      <w:rPr>
        <w:rFonts w:ascii="Courier New" w:hAnsi="Courier New"/>
      </w:rPr>
    </w:lvl>
    <w:lvl w:ilvl="8" w:tplc="604CB890">
      <w:start w:val="1"/>
      <w:numFmt w:val="bullet"/>
      <w:lvlText w:val=""/>
      <w:lvlJc w:val="left"/>
      <w:pPr>
        <w:tabs>
          <w:tab w:val="num" w:pos="6480"/>
        </w:tabs>
        <w:ind w:left="6480" w:hanging="360"/>
      </w:pPr>
      <w:rPr>
        <w:rFonts w:ascii="Wingdings" w:hAnsi="Wingdings"/>
      </w:rPr>
    </w:lvl>
  </w:abstractNum>
  <w:abstractNum w:abstractNumId="61">
    <w:nsid w:val="722304FF"/>
    <w:multiLevelType w:val="hybridMultilevel"/>
    <w:tmpl w:val="722304FF"/>
    <w:lvl w:ilvl="0" w:tplc="E40E67EC">
      <w:start w:val="1"/>
      <w:numFmt w:val="bullet"/>
      <w:lvlText w:val=""/>
      <w:lvlJc w:val="left"/>
      <w:pPr>
        <w:ind w:left="720" w:hanging="360"/>
      </w:pPr>
      <w:rPr>
        <w:rFonts w:ascii="Symbol" w:hAnsi="Symbol"/>
      </w:rPr>
    </w:lvl>
    <w:lvl w:ilvl="1" w:tplc="243EAEAC">
      <w:start w:val="1"/>
      <w:numFmt w:val="bullet"/>
      <w:lvlText w:val="o"/>
      <w:lvlJc w:val="left"/>
      <w:pPr>
        <w:tabs>
          <w:tab w:val="num" w:pos="1440"/>
        </w:tabs>
        <w:ind w:left="1440" w:hanging="360"/>
      </w:pPr>
      <w:rPr>
        <w:rFonts w:ascii="Courier New" w:hAnsi="Courier New"/>
      </w:rPr>
    </w:lvl>
    <w:lvl w:ilvl="2" w:tplc="7C542DD0">
      <w:start w:val="1"/>
      <w:numFmt w:val="bullet"/>
      <w:lvlText w:val=""/>
      <w:lvlJc w:val="left"/>
      <w:pPr>
        <w:tabs>
          <w:tab w:val="num" w:pos="2160"/>
        </w:tabs>
        <w:ind w:left="2160" w:hanging="360"/>
      </w:pPr>
      <w:rPr>
        <w:rFonts w:ascii="Wingdings" w:hAnsi="Wingdings"/>
      </w:rPr>
    </w:lvl>
    <w:lvl w:ilvl="3" w:tplc="F63AC534">
      <w:start w:val="1"/>
      <w:numFmt w:val="bullet"/>
      <w:lvlText w:val=""/>
      <w:lvlJc w:val="left"/>
      <w:pPr>
        <w:tabs>
          <w:tab w:val="num" w:pos="2880"/>
        </w:tabs>
        <w:ind w:left="2880" w:hanging="360"/>
      </w:pPr>
      <w:rPr>
        <w:rFonts w:ascii="Symbol" w:hAnsi="Symbol"/>
      </w:rPr>
    </w:lvl>
    <w:lvl w:ilvl="4" w:tplc="F1747066">
      <w:start w:val="1"/>
      <w:numFmt w:val="bullet"/>
      <w:lvlText w:val="o"/>
      <w:lvlJc w:val="left"/>
      <w:pPr>
        <w:tabs>
          <w:tab w:val="num" w:pos="3600"/>
        </w:tabs>
        <w:ind w:left="3600" w:hanging="360"/>
      </w:pPr>
      <w:rPr>
        <w:rFonts w:ascii="Courier New" w:hAnsi="Courier New"/>
      </w:rPr>
    </w:lvl>
    <w:lvl w:ilvl="5" w:tplc="7ABE715E">
      <w:start w:val="1"/>
      <w:numFmt w:val="bullet"/>
      <w:lvlText w:val=""/>
      <w:lvlJc w:val="left"/>
      <w:pPr>
        <w:tabs>
          <w:tab w:val="num" w:pos="4320"/>
        </w:tabs>
        <w:ind w:left="4320" w:hanging="360"/>
      </w:pPr>
      <w:rPr>
        <w:rFonts w:ascii="Wingdings" w:hAnsi="Wingdings"/>
      </w:rPr>
    </w:lvl>
    <w:lvl w:ilvl="6" w:tplc="85FCB2BA">
      <w:start w:val="1"/>
      <w:numFmt w:val="bullet"/>
      <w:lvlText w:val=""/>
      <w:lvlJc w:val="left"/>
      <w:pPr>
        <w:tabs>
          <w:tab w:val="num" w:pos="5040"/>
        </w:tabs>
        <w:ind w:left="5040" w:hanging="360"/>
      </w:pPr>
      <w:rPr>
        <w:rFonts w:ascii="Symbol" w:hAnsi="Symbol"/>
      </w:rPr>
    </w:lvl>
    <w:lvl w:ilvl="7" w:tplc="30A0B26E">
      <w:start w:val="1"/>
      <w:numFmt w:val="bullet"/>
      <w:lvlText w:val="o"/>
      <w:lvlJc w:val="left"/>
      <w:pPr>
        <w:tabs>
          <w:tab w:val="num" w:pos="5760"/>
        </w:tabs>
        <w:ind w:left="5760" w:hanging="360"/>
      </w:pPr>
      <w:rPr>
        <w:rFonts w:ascii="Courier New" w:hAnsi="Courier New"/>
      </w:rPr>
    </w:lvl>
    <w:lvl w:ilvl="8" w:tplc="9698E308">
      <w:start w:val="1"/>
      <w:numFmt w:val="bullet"/>
      <w:lvlText w:val=""/>
      <w:lvlJc w:val="left"/>
      <w:pPr>
        <w:tabs>
          <w:tab w:val="num" w:pos="6480"/>
        </w:tabs>
        <w:ind w:left="6480" w:hanging="360"/>
      </w:pPr>
      <w:rPr>
        <w:rFonts w:ascii="Wingdings" w:hAnsi="Wingdings"/>
      </w:rPr>
    </w:lvl>
  </w:abstractNum>
  <w:abstractNum w:abstractNumId="62">
    <w:nsid w:val="72230500"/>
    <w:multiLevelType w:val="hybridMultilevel"/>
    <w:tmpl w:val="72230500"/>
    <w:lvl w:ilvl="0" w:tplc="982A2296">
      <w:start w:val="1"/>
      <w:numFmt w:val="bullet"/>
      <w:lvlText w:val=""/>
      <w:lvlJc w:val="left"/>
      <w:pPr>
        <w:ind w:left="720" w:hanging="360"/>
      </w:pPr>
      <w:rPr>
        <w:rFonts w:ascii="Symbol" w:hAnsi="Symbol"/>
      </w:rPr>
    </w:lvl>
    <w:lvl w:ilvl="1" w:tplc="386AA290">
      <w:start w:val="1"/>
      <w:numFmt w:val="bullet"/>
      <w:lvlText w:val="o"/>
      <w:lvlJc w:val="left"/>
      <w:pPr>
        <w:tabs>
          <w:tab w:val="num" w:pos="1440"/>
        </w:tabs>
        <w:ind w:left="1440" w:hanging="360"/>
      </w:pPr>
      <w:rPr>
        <w:rFonts w:ascii="Courier New" w:hAnsi="Courier New"/>
      </w:rPr>
    </w:lvl>
    <w:lvl w:ilvl="2" w:tplc="D66474B8">
      <w:start w:val="1"/>
      <w:numFmt w:val="bullet"/>
      <w:lvlText w:val=""/>
      <w:lvlJc w:val="left"/>
      <w:pPr>
        <w:tabs>
          <w:tab w:val="num" w:pos="2160"/>
        </w:tabs>
        <w:ind w:left="2160" w:hanging="360"/>
      </w:pPr>
      <w:rPr>
        <w:rFonts w:ascii="Wingdings" w:hAnsi="Wingdings"/>
      </w:rPr>
    </w:lvl>
    <w:lvl w:ilvl="3" w:tplc="5232CF54">
      <w:start w:val="1"/>
      <w:numFmt w:val="bullet"/>
      <w:lvlText w:val=""/>
      <w:lvlJc w:val="left"/>
      <w:pPr>
        <w:tabs>
          <w:tab w:val="num" w:pos="2880"/>
        </w:tabs>
        <w:ind w:left="2880" w:hanging="360"/>
      </w:pPr>
      <w:rPr>
        <w:rFonts w:ascii="Symbol" w:hAnsi="Symbol"/>
      </w:rPr>
    </w:lvl>
    <w:lvl w:ilvl="4" w:tplc="6A3E6EEE">
      <w:start w:val="1"/>
      <w:numFmt w:val="bullet"/>
      <w:lvlText w:val="o"/>
      <w:lvlJc w:val="left"/>
      <w:pPr>
        <w:tabs>
          <w:tab w:val="num" w:pos="3600"/>
        </w:tabs>
        <w:ind w:left="3600" w:hanging="360"/>
      </w:pPr>
      <w:rPr>
        <w:rFonts w:ascii="Courier New" w:hAnsi="Courier New"/>
      </w:rPr>
    </w:lvl>
    <w:lvl w:ilvl="5" w:tplc="26887610">
      <w:start w:val="1"/>
      <w:numFmt w:val="bullet"/>
      <w:lvlText w:val=""/>
      <w:lvlJc w:val="left"/>
      <w:pPr>
        <w:tabs>
          <w:tab w:val="num" w:pos="4320"/>
        </w:tabs>
        <w:ind w:left="4320" w:hanging="360"/>
      </w:pPr>
      <w:rPr>
        <w:rFonts w:ascii="Wingdings" w:hAnsi="Wingdings"/>
      </w:rPr>
    </w:lvl>
    <w:lvl w:ilvl="6" w:tplc="C2F8370C">
      <w:start w:val="1"/>
      <w:numFmt w:val="bullet"/>
      <w:lvlText w:val=""/>
      <w:lvlJc w:val="left"/>
      <w:pPr>
        <w:tabs>
          <w:tab w:val="num" w:pos="5040"/>
        </w:tabs>
        <w:ind w:left="5040" w:hanging="360"/>
      </w:pPr>
      <w:rPr>
        <w:rFonts w:ascii="Symbol" w:hAnsi="Symbol"/>
      </w:rPr>
    </w:lvl>
    <w:lvl w:ilvl="7" w:tplc="23329FC8">
      <w:start w:val="1"/>
      <w:numFmt w:val="bullet"/>
      <w:lvlText w:val="o"/>
      <w:lvlJc w:val="left"/>
      <w:pPr>
        <w:tabs>
          <w:tab w:val="num" w:pos="5760"/>
        </w:tabs>
        <w:ind w:left="5760" w:hanging="360"/>
      </w:pPr>
      <w:rPr>
        <w:rFonts w:ascii="Courier New" w:hAnsi="Courier New"/>
      </w:rPr>
    </w:lvl>
    <w:lvl w:ilvl="8" w:tplc="5B2AEE6A">
      <w:start w:val="1"/>
      <w:numFmt w:val="bullet"/>
      <w:lvlText w:val=""/>
      <w:lvlJc w:val="left"/>
      <w:pPr>
        <w:tabs>
          <w:tab w:val="num" w:pos="6480"/>
        </w:tabs>
        <w:ind w:left="6480" w:hanging="360"/>
      </w:pPr>
      <w:rPr>
        <w:rFonts w:ascii="Wingdings" w:hAnsi="Wingdings"/>
      </w:rPr>
    </w:lvl>
  </w:abstractNum>
  <w:abstractNum w:abstractNumId="63">
    <w:nsid w:val="72230501"/>
    <w:multiLevelType w:val="hybridMultilevel"/>
    <w:tmpl w:val="72230501"/>
    <w:lvl w:ilvl="0" w:tplc="0520DDBA">
      <w:start w:val="1"/>
      <w:numFmt w:val="bullet"/>
      <w:lvlText w:val=""/>
      <w:lvlJc w:val="left"/>
      <w:pPr>
        <w:ind w:left="720" w:hanging="360"/>
      </w:pPr>
      <w:rPr>
        <w:rFonts w:ascii="Symbol" w:hAnsi="Symbol"/>
      </w:rPr>
    </w:lvl>
    <w:lvl w:ilvl="1" w:tplc="D3560FE6">
      <w:start w:val="1"/>
      <w:numFmt w:val="bullet"/>
      <w:lvlText w:val="o"/>
      <w:lvlJc w:val="left"/>
      <w:pPr>
        <w:tabs>
          <w:tab w:val="num" w:pos="1440"/>
        </w:tabs>
        <w:ind w:left="1440" w:hanging="360"/>
      </w:pPr>
      <w:rPr>
        <w:rFonts w:ascii="Courier New" w:hAnsi="Courier New"/>
      </w:rPr>
    </w:lvl>
    <w:lvl w:ilvl="2" w:tplc="470AA26A">
      <w:start w:val="1"/>
      <w:numFmt w:val="bullet"/>
      <w:lvlText w:val=""/>
      <w:lvlJc w:val="left"/>
      <w:pPr>
        <w:tabs>
          <w:tab w:val="num" w:pos="2160"/>
        </w:tabs>
        <w:ind w:left="2160" w:hanging="360"/>
      </w:pPr>
      <w:rPr>
        <w:rFonts w:ascii="Wingdings" w:hAnsi="Wingdings"/>
      </w:rPr>
    </w:lvl>
    <w:lvl w:ilvl="3" w:tplc="4BFED8B4">
      <w:start w:val="1"/>
      <w:numFmt w:val="bullet"/>
      <w:lvlText w:val=""/>
      <w:lvlJc w:val="left"/>
      <w:pPr>
        <w:tabs>
          <w:tab w:val="num" w:pos="2880"/>
        </w:tabs>
        <w:ind w:left="2880" w:hanging="360"/>
      </w:pPr>
      <w:rPr>
        <w:rFonts w:ascii="Symbol" w:hAnsi="Symbol"/>
      </w:rPr>
    </w:lvl>
    <w:lvl w:ilvl="4" w:tplc="1AA219A8">
      <w:start w:val="1"/>
      <w:numFmt w:val="bullet"/>
      <w:lvlText w:val="o"/>
      <w:lvlJc w:val="left"/>
      <w:pPr>
        <w:tabs>
          <w:tab w:val="num" w:pos="3600"/>
        </w:tabs>
        <w:ind w:left="3600" w:hanging="360"/>
      </w:pPr>
      <w:rPr>
        <w:rFonts w:ascii="Courier New" w:hAnsi="Courier New"/>
      </w:rPr>
    </w:lvl>
    <w:lvl w:ilvl="5" w:tplc="A300AEEE">
      <w:start w:val="1"/>
      <w:numFmt w:val="bullet"/>
      <w:lvlText w:val=""/>
      <w:lvlJc w:val="left"/>
      <w:pPr>
        <w:tabs>
          <w:tab w:val="num" w:pos="4320"/>
        </w:tabs>
        <w:ind w:left="4320" w:hanging="360"/>
      </w:pPr>
      <w:rPr>
        <w:rFonts w:ascii="Wingdings" w:hAnsi="Wingdings"/>
      </w:rPr>
    </w:lvl>
    <w:lvl w:ilvl="6" w:tplc="4DDAF7A2">
      <w:start w:val="1"/>
      <w:numFmt w:val="bullet"/>
      <w:lvlText w:val=""/>
      <w:lvlJc w:val="left"/>
      <w:pPr>
        <w:tabs>
          <w:tab w:val="num" w:pos="5040"/>
        </w:tabs>
        <w:ind w:left="5040" w:hanging="360"/>
      </w:pPr>
      <w:rPr>
        <w:rFonts w:ascii="Symbol" w:hAnsi="Symbol"/>
      </w:rPr>
    </w:lvl>
    <w:lvl w:ilvl="7" w:tplc="CE3C5FCC">
      <w:start w:val="1"/>
      <w:numFmt w:val="bullet"/>
      <w:lvlText w:val="o"/>
      <w:lvlJc w:val="left"/>
      <w:pPr>
        <w:tabs>
          <w:tab w:val="num" w:pos="5760"/>
        </w:tabs>
        <w:ind w:left="5760" w:hanging="360"/>
      </w:pPr>
      <w:rPr>
        <w:rFonts w:ascii="Courier New" w:hAnsi="Courier New"/>
      </w:rPr>
    </w:lvl>
    <w:lvl w:ilvl="8" w:tplc="9C8ADA3E">
      <w:start w:val="1"/>
      <w:numFmt w:val="bullet"/>
      <w:lvlText w:val=""/>
      <w:lvlJc w:val="left"/>
      <w:pPr>
        <w:tabs>
          <w:tab w:val="num" w:pos="6480"/>
        </w:tabs>
        <w:ind w:left="6480" w:hanging="360"/>
      </w:pPr>
      <w:rPr>
        <w:rFonts w:ascii="Wingdings" w:hAnsi="Wingdings"/>
      </w:rPr>
    </w:lvl>
  </w:abstractNum>
  <w:abstractNum w:abstractNumId="64">
    <w:nsid w:val="72230502"/>
    <w:multiLevelType w:val="hybridMultilevel"/>
    <w:tmpl w:val="72230502"/>
    <w:lvl w:ilvl="0" w:tplc="5596B45A">
      <w:start w:val="1"/>
      <w:numFmt w:val="bullet"/>
      <w:lvlText w:val=""/>
      <w:lvlJc w:val="left"/>
      <w:pPr>
        <w:ind w:left="720" w:hanging="360"/>
      </w:pPr>
      <w:rPr>
        <w:rFonts w:ascii="Symbol" w:hAnsi="Symbol"/>
      </w:rPr>
    </w:lvl>
    <w:lvl w:ilvl="1" w:tplc="8F264A50">
      <w:start w:val="1"/>
      <w:numFmt w:val="bullet"/>
      <w:lvlText w:val="o"/>
      <w:lvlJc w:val="left"/>
      <w:pPr>
        <w:tabs>
          <w:tab w:val="num" w:pos="1440"/>
        </w:tabs>
        <w:ind w:left="1440" w:hanging="360"/>
      </w:pPr>
      <w:rPr>
        <w:rFonts w:ascii="Courier New" w:hAnsi="Courier New"/>
      </w:rPr>
    </w:lvl>
    <w:lvl w:ilvl="2" w:tplc="76E23CB8">
      <w:start w:val="1"/>
      <w:numFmt w:val="bullet"/>
      <w:lvlText w:val=""/>
      <w:lvlJc w:val="left"/>
      <w:pPr>
        <w:tabs>
          <w:tab w:val="num" w:pos="2160"/>
        </w:tabs>
        <w:ind w:left="2160" w:hanging="360"/>
      </w:pPr>
      <w:rPr>
        <w:rFonts w:ascii="Wingdings" w:hAnsi="Wingdings"/>
      </w:rPr>
    </w:lvl>
    <w:lvl w:ilvl="3" w:tplc="E66C5234">
      <w:start w:val="1"/>
      <w:numFmt w:val="bullet"/>
      <w:lvlText w:val=""/>
      <w:lvlJc w:val="left"/>
      <w:pPr>
        <w:tabs>
          <w:tab w:val="num" w:pos="2880"/>
        </w:tabs>
        <w:ind w:left="2880" w:hanging="360"/>
      </w:pPr>
      <w:rPr>
        <w:rFonts w:ascii="Symbol" w:hAnsi="Symbol"/>
      </w:rPr>
    </w:lvl>
    <w:lvl w:ilvl="4" w:tplc="0096CF00">
      <w:start w:val="1"/>
      <w:numFmt w:val="bullet"/>
      <w:lvlText w:val="o"/>
      <w:lvlJc w:val="left"/>
      <w:pPr>
        <w:tabs>
          <w:tab w:val="num" w:pos="3600"/>
        </w:tabs>
        <w:ind w:left="3600" w:hanging="360"/>
      </w:pPr>
      <w:rPr>
        <w:rFonts w:ascii="Courier New" w:hAnsi="Courier New"/>
      </w:rPr>
    </w:lvl>
    <w:lvl w:ilvl="5" w:tplc="AA60C9E0">
      <w:start w:val="1"/>
      <w:numFmt w:val="bullet"/>
      <w:lvlText w:val=""/>
      <w:lvlJc w:val="left"/>
      <w:pPr>
        <w:tabs>
          <w:tab w:val="num" w:pos="4320"/>
        </w:tabs>
        <w:ind w:left="4320" w:hanging="360"/>
      </w:pPr>
      <w:rPr>
        <w:rFonts w:ascii="Wingdings" w:hAnsi="Wingdings"/>
      </w:rPr>
    </w:lvl>
    <w:lvl w:ilvl="6" w:tplc="3E46939E">
      <w:start w:val="1"/>
      <w:numFmt w:val="bullet"/>
      <w:lvlText w:val=""/>
      <w:lvlJc w:val="left"/>
      <w:pPr>
        <w:tabs>
          <w:tab w:val="num" w:pos="5040"/>
        </w:tabs>
        <w:ind w:left="5040" w:hanging="360"/>
      </w:pPr>
      <w:rPr>
        <w:rFonts w:ascii="Symbol" w:hAnsi="Symbol"/>
      </w:rPr>
    </w:lvl>
    <w:lvl w:ilvl="7" w:tplc="BCB02C3C">
      <w:start w:val="1"/>
      <w:numFmt w:val="bullet"/>
      <w:lvlText w:val="o"/>
      <w:lvlJc w:val="left"/>
      <w:pPr>
        <w:tabs>
          <w:tab w:val="num" w:pos="5760"/>
        </w:tabs>
        <w:ind w:left="5760" w:hanging="360"/>
      </w:pPr>
      <w:rPr>
        <w:rFonts w:ascii="Courier New" w:hAnsi="Courier New"/>
      </w:rPr>
    </w:lvl>
    <w:lvl w:ilvl="8" w:tplc="46A0C0AC">
      <w:start w:val="1"/>
      <w:numFmt w:val="bullet"/>
      <w:lvlText w:val=""/>
      <w:lvlJc w:val="left"/>
      <w:pPr>
        <w:tabs>
          <w:tab w:val="num" w:pos="6480"/>
        </w:tabs>
        <w:ind w:left="6480" w:hanging="360"/>
      </w:pPr>
      <w:rPr>
        <w:rFonts w:ascii="Wingdings" w:hAnsi="Wingdings"/>
      </w:rPr>
    </w:lvl>
  </w:abstractNum>
  <w:abstractNum w:abstractNumId="65">
    <w:nsid w:val="72230503"/>
    <w:multiLevelType w:val="hybridMultilevel"/>
    <w:tmpl w:val="72230503"/>
    <w:lvl w:ilvl="0" w:tplc="9BEACBFC">
      <w:start w:val="1"/>
      <w:numFmt w:val="bullet"/>
      <w:lvlText w:val=""/>
      <w:lvlJc w:val="left"/>
      <w:pPr>
        <w:ind w:left="720" w:hanging="360"/>
      </w:pPr>
      <w:rPr>
        <w:rFonts w:ascii="Symbol" w:hAnsi="Symbol"/>
      </w:rPr>
    </w:lvl>
    <w:lvl w:ilvl="1" w:tplc="19ECC29A">
      <w:start w:val="1"/>
      <w:numFmt w:val="bullet"/>
      <w:lvlText w:val="o"/>
      <w:lvlJc w:val="left"/>
      <w:pPr>
        <w:tabs>
          <w:tab w:val="num" w:pos="1440"/>
        </w:tabs>
        <w:ind w:left="1440" w:hanging="360"/>
      </w:pPr>
      <w:rPr>
        <w:rFonts w:ascii="Courier New" w:hAnsi="Courier New"/>
      </w:rPr>
    </w:lvl>
    <w:lvl w:ilvl="2" w:tplc="1D768C2E">
      <w:start w:val="1"/>
      <w:numFmt w:val="bullet"/>
      <w:lvlText w:val=""/>
      <w:lvlJc w:val="left"/>
      <w:pPr>
        <w:tabs>
          <w:tab w:val="num" w:pos="2160"/>
        </w:tabs>
        <w:ind w:left="2160" w:hanging="360"/>
      </w:pPr>
      <w:rPr>
        <w:rFonts w:ascii="Wingdings" w:hAnsi="Wingdings"/>
      </w:rPr>
    </w:lvl>
    <w:lvl w:ilvl="3" w:tplc="5052E078">
      <w:start w:val="1"/>
      <w:numFmt w:val="bullet"/>
      <w:lvlText w:val=""/>
      <w:lvlJc w:val="left"/>
      <w:pPr>
        <w:tabs>
          <w:tab w:val="num" w:pos="2880"/>
        </w:tabs>
        <w:ind w:left="2880" w:hanging="360"/>
      </w:pPr>
      <w:rPr>
        <w:rFonts w:ascii="Symbol" w:hAnsi="Symbol"/>
      </w:rPr>
    </w:lvl>
    <w:lvl w:ilvl="4" w:tplc="E3EA2F14">
      <w:start w:val="1"/>
      <w:numFmt w:val="bullet"/>
      <w:lvlText w:val="o"/>
      <w:lvlJc w:val="left"/>
      <w:pPr>
        <w:tabs>
          <w:tab w:val="num" w:pos="3600"/>
        </w:tabs>
        <w:ind w:left="3600" w:hanging="360"/>
      </w:pPr>
      <w:rPr>
        <w:rFonts w:ascii="Courier New" w:hAnsi="Courier New"/>
      </w:rPr>
    </w:lvl>
    <w:lvl w:ilvl="5" w:tplc="6AAA8DDC">
      <w:start w:val="1"/>
      <w:numFmt w:val="bullet"/>
      <w:lvlText w:val=""/>
      <w:lvlJc w:val="left"/>
      <w:pPr>
        <w:tabs>
          <w:tab w:val="num" w:pos="4320"/>
        </w:tabs>
        <w:ind w:left="4320" w:hanging="360"/>
      </w:pPr>
      <w:rPr>
        <w:rFonts w:ascii="Wingdings" w:hAnsi="Wingdings"/>
      </w:rPr>
    </w:lvl>
    <w:lvl w:ilvl="6" w:tplc="C11036D6">
      <w:start w:val="1"/>
      <w:numFmt w:val="bullet"/>
      <w:lvlText w:val=""/>
      <w:lvlJc w:val="left"/>
      <w:pPr>
        <w:tabs>
          <w:tab w:val="num" w:pos="5040"/>
        </w:tabs>
        <w:ind w:left="5040" w:hanging="360"/>
      </w:pPr>
      <w:rPr>
        <w:rFonts w:ascii="Symbol" w:hAnsi="Symbol"/>
      </w:rPr>
    </w:lvl>
    <w:lvl w:ilvl="7" w:tplc="40AEDDD6">
      <w:start w:val="1"/>
      <w:numFmt w:val="bullet"/>
      <w:lvlText w:val="o"/>
      <w:lvlJc w:val="left"/>
      <w:pPr>
        <w:tabs>
          <w:tab w:val="num" w:pos="5760"/>
        </w:tabs>
        <w:ind w:left="5760" w:hanging="360"/>
      </w:pPr>
      <w:rPr>
        <w:rFonts w:ascii="Courier New" w:hAnsi="Courier New"/>
      </w:rPr>
    </w:lvl>
    <w:lvl w:ilvl="8" w:tplc="1BFE53D8">
      <w:start w:val="1"/>
      <w:numFmt w:val="bullet"/>
      <w:lvlText w:val=""/>
      <w:lvlJc w:val="left"/>
      <w:pPr>
        <w:tabs>
          <w:tab w:val="num" w:pos="6480"/>
        </w:tabs>
        <w:ind w:left="6480" w:hanging="360"/>
      </w:pPr>
      <w:rPr>
        <w:rFonts w:ascii="Wingdings" w:hAnsi="Wingdings"/>
      </w:rPr>
    </w:lvl>
  </w:abstractNum>
  <w:abstractNum w:abstractNumId="66">
    <w:nsid w:val="72230504"/>
    <w:multiLevelType w:val="multilevel"/>
    <w:tmpl w:val="7223050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72230505"/>
    <w:multiLevelType w:val="multilevel"/>
    <w:tmpl w:val="7223050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8">
    <w:nsid w:val="72230506"/>
    <w:multiLevelType w:val="multilevel"/>
    <w:tmpl w:val="7223050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9">
    <w:nsid w:val="72230507"/>
    <w:multiLevelType w:val="multilevel"/>
    <w:tmpl w:val="7223050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nsid w:val="72230508"/>
    <w:multiLevelType w:val="multilevel"/>
    <w:tmpl w:val="7223050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1">
    <w:nsid w:val="72230509"/>
    <w:multiLevelType w:val="hybridMultilevel"/>
    <w:tmpl w:val="72230509"/>
    <w:lvl w:ilvl="0" w:tplc="BE2EA178">
      <w:start w:val="1"/>
      <w:numFmt w:val="bullet"/>
      <w:lvlText w:val=""/>
      <w:lvlJc w:val="left"/>
      <w:pPr>
        <w:ind w:left="720" w:hanging="360"/>
      </w:pPr>
      <w:rPr>
        <w:rFonts w:ascii="Symbol" w:hAnsi="Symbol"/>
      </w:rPr>
    </w:lvl>
    <w:lvl w:ilvl="1" w:tplc="03BED062">
      <w:start w:val="1"/>
      <w:numFmt w:val="bullet"/>
      <w:lvlText w:val="o"/>
      <w:lvlJc w:val="left"/>
      <w:pPr>
        <w:tabs>
          <w:tab w:val="num" w:pos="1440"/>
        </w:tabs>
        <w:ind w:left="1440" w:hanging="360"/>
      </w:pPr>
      <w:rPr>
        <w:rFonts w:ascii="Courier New" w:hAnsi="Courier New"/>
      </w:rPr>
    </w:lvl>
    <w:lvl w:ilvl="2" w:tplc="E4B48A6E">
      <w:start w:val="1"/>
      <w:numFmt w:val="bullet"/>
      <w:lvlText w:val=""/>
      <w:lvlJc w:val="left"/>
      <w:pPr>
        <w:tabs>
          <w:tab w:val="num" w:pos="2160"/>
        </w:tabs>
        <w:ind w:left="2160" w:hanging="360"/>
      </w:pPr>
      <w:rPr>
        <w:rFonts w:ascii="Wingdings" w:hAnsi="Wingdings"/>
      </w:rPr>
    </w:lvl>
    <w:lvl w:ilvl="3" w:tplc="0BBEBEF6">
      <w:start w:val="1"/>
      <w:numFmt w:val="bullet"/>
      <w:lvlText w:val=""/>
      <w:lvlJc w:val="left"/>
      <w:pPr>
        <w:tabs>
          <w:tab w:val="num" w:pos="2880"/>
        </w:tabs>
        <w:ind w:left="2880" w:hanging="360"/>
      </w:pPr>
      <w:rPr>
        <w:rFonts w:ascii="Symbol" w:hAnsi="Symbol"/>
      </w:rPr>
    </w:lvl>
    <w:lvl w:ilvl="4" w:tplc="580665A6">
      <w:start w:val="1"/>
      <w:numFmt w:val="bullet"/>
      <w:lvlText w:val="o"/>
      <w:lvlJc w:val="left"/>
      <w:pPr>
        <w:tabs>
          <w:tab w:val="num" w:pos="3600"/>
        </w:tabs>
        <w:ind w:left="3600" w:hanging="360"/>
      </w:pPr>
      <w:rPr>
        <w:rFonts w:ascii="Courier New" w:hAnsi="Courier New"/>
      </w:rPr>
    </w:lvl>
    <w:lvl w:ilvl="5" w:tplc="2660829C">
      <w:start w:val="1"/>
      <w:numFmt w:val="bullet"/>
      <w:lvlText w:val=""/>
      <w:lvlJc w:val="left"/>
      <w:pPr>
        <w:tabs>
          <w:tab w:val="num" w:pos="4320"/>
        </w:tabs>
        <w:ind w:left="4320" w:hanging="360"/>
      </w:pPr>
      <w:rPr>
        <w:rFonts w:ascii="Wingdings" w:hAnsi="Wingdings"/>
      </w:rPr>
    </w:lvl>
    <w:lvl w:ilvl="6" w:tplc="20B8A9B0">
      <w:start w:val="1"/>
      <w:numFmt w:val="bullet"/>
      <w:lvlText w:val=""/>
      <w:lvlJc w:val="left"/>
      <w:pPr>
        <w:tabs>
          <w:tab w:val="num" w:pos="5040"/>
        </w:tabs>
        <w:ind w:left="5040" w:hanging="360"/>
      </w:pPr>
      <w:rPr>
        <w:rFonts w:ascii="Symbol" w:hAnsi="Symbol"/>
      </w:rPr>
    </w:lvl>
    <w:lvl w:ilvl="7" w:tplc="4B4E7A84">
      <w:start w:val="1"/>
      <w:numFmt w:val="bullet"/>
      <w:lvlText w:val="o"/>
      <w:lvlJc w:val="left"/>
      <w:pPr>
        <w:tabs>
          <w:tab w:val="num" w:pos="5760"/>
        </w:tabs>
        <w:ind w:left="5760" w:hanging="360"/>
      </w:pPr>
      <w:rPr>
        <w:rFonts w:ascii="Courier New" w:hAnsi="Courier New"/>
      </w:rPr>
    </w:lvl>
    <w:lvl w:ilvl="8" w:tplc="7C04215C">
      <w:start w:val="1"/>
      <w:numFmt w:val="bullet"/>
      <w:lvlText w:val=""/>
      <w:lvlJc w:val="left"/>
      <w:pPr>
        <w:tabs>
          <w:tab w:val="num" w:pos="6480"/>
        </w:tabs>
        <w:ind w:left="6480" w:hanging="360"/>
      </w:pPr>
      <w:rPr>
        <w:rFonts w:ascii="Wingdings" w:hAnsi="Wingdings"/>
      </w:rPr>
    </w:lvl>
  </w:abstractNum>
  <w:abstractNum w:abstractNumId="72">
    <w:nsid w:val="7223050A"/>
    <w:multiLevelType w:val="hybridMultilevel"/>
    <w:tmpl w:val="7223050A"/>
    <w:lvl w:ilvl="0" w:tplc="7D20AFC8">
      <w:start w:val="1"/>
      <w:numFmt w:val="bullet"/>
      <w:lvlText w:val=""/>
      <w:lvlJc w:val="left"/>
      <w:pPr>
        <w:ind w:left="720" w:hanging="360"/>
      </w:pPr>
      <w:rPr>
        <w:rFonts w:ascii="Symbol" w:hAnsi="Symbol"/>
      </w:rPr>
    </w:lvl>
    <w:lvl w:ilvl="1" w:tplc="044C40FC">
      <w:start w:val="1"/>
      <w:numFmt w:val="bullet"/>
      <w:lvlText w:val="o"/>
      <w:lvlJc w:val="left"/>
      <w:pPr>
        <w:tabs>
          <w:tab w:val="num" w:pos="1440"/>
        </w:tabs>
        <w:ind w:left="1440" w:hanging="360"/>
      </w:pPr>
      <w:rPr>
        <w:rFonts w:ascii="Courier New" w:hAnsi="Courier New"/>
      </w:rPr>
    </w:lvl>
    <w:lvl w:ilvl="2" w:tplc="7F402730">
      <w:start w:val="1"/>
      <w:numFmt w:val="bullet"/>
      <w:lvlText w:val=""/>
      <w:lvlJc w:val="left"/>
      <w:pPr>
        <w:tabs>
          <w:tab w:val="num" w:pos="2160"/>
        </w:tabs>
        <w:ind w:left="2160" w:hanging="360"/>
      </w:pPr>
      <w:rPr>
        <w:rFonts w:ascii="Wingdings" w:hAnsi="Wingdings"/>
      </w:rPr>
    </w:lvl>
    <w:lvl w:ilvl="3" w:tplc="E52451EE">
      <w:start w:val="1"/>
      <w:numFmt w:val="bullet"/>
      <w:lvlText w:val=""/>
      <w:lvlJc w:val="left"/>
      <w:pPr>
        <w:tabs>
          <w:tab w:val="num" w:pos="2880"/>
        </w:tabs>
        <w:ind w:left="2880" w:hanging="360"/>
      </w:pPr>
      <w:rPr>
        <w:rFonts w:ascii="Symbol" w:hAnsi="Symbol"/>
      </w:rPr>
    </w:lvl>
    <w:lvl w:ilvl="4" w:tplc="9C9EF2D6">
      <w:start w:val="1"/>
      <w:numFmt w:val="bullet"/>
      <w:lvlText w:val="o"/>
      <w:lvlJc w:val="left"/>
      <w:pPr>
        <w:tabs>
          <w:tab w:val="num" w:pos="3600"/>
        </w:tabs>
        <w:ind w:left="3600" w:hanging="360"/>
      </w:pPr>
      <w:rPr>
        <w:rFonts w:ascii="Courier New" w:hAnsi="Courier New"/>
      </w:rPr>
    </w:lvl>
    <w:lvl w:ilvl="5" w:tplc="80FA9A68">
      <w:start w:val="1"/>
      <w:numFmt w:val="bullet"/>
      <w:lvlText w:val=""/>
      <w:lvlJc w:val="left"/>
      <w:pPr>
        <w:tabs>
          <w:tab w:val="num" w:pos="4320"/>
        </w:tabs>
        <w:ind w:left="4320" w:hanging="360"/>
      </w:pPr>
      <w:rPr>
        <w:rFonts w:ascii="Wingdings" w:hAnsi="Wingdings"/>
      </w:rPr>
    </w:lvl>
    <w:lvl w:ilvl="6" w:tplc="2120278A">
      <w:start w:val="1"/>
      <w:numFmt w:val="bullet"/>
      <w:lvlText w:val=""/>
      <w:lvlJc w:val="left"/>
      <w:pPr>
        <w:tabs>
          <w:tab w:val="num" w:pos="5040"/>
        </w:tabs>
        <w:ind w:left="5040" w:hanging="360"/>
      </w:pPr>
      <w:rPr>
        <w:rFonts w:ascii="Symbol" w:hAnsi="Symbol"/>
      </w:rPr>
    </w:lvl>
    <w:lvl w:ilvl="7" w:tplc="228237CC">
      <w:start w:val="1"/>
      <w:numFmt w:val="bullet"/>
      <w:lvlText w:val="o"/>
      <w:lvlJc w:val="left"/>
      <w:pPr>
        <w:tabs>
          <w:tab w:val="num" w:pos="5760"/>
        </w:tabs>
        <w:ind w:left="5760" w:hanging="360"/>
      </w:pPr>
      <w:rPr>
        <w:rFonts w:ascii="Courier New" w:hAnsi="Courier New"/>
      </w:rPr>
    </w:lvl>
    <w:lvl w:ilvl="8" w:tplc="1FCE9E18">
      <w:start w:val="1"/>
      <w:numFmt w:val="bullet"/>
      <w:lvlText w:val=""/>
      <w:lvlJc w:val="left"/>
      <w:pPr>
        <w:tabs>
          <w:tab w:val="num" w:pos="6480"/>
        </w:tabs>
        <w:ind w:left="6480" w:hanging="360"/>
      </w:pPr>
      <w:rPr>
        <w:rFonts w:ascii="Wingdings" w:hAnsi="Wingdings"/>
      </w:rPr>
    </w:lvl>
  </w:abstractNum>
  <w:abstractNum w:abstractNumId="73">
    <w:nsid w:val="7223050B"/>
    <w:multiLevelType w:val="hybridMultilevel"/>
    <w:tmpl w:val="7223050B"/>
    <w:lvl w:ilvl="0" w:tplc="1124D8CE">
      <w:start w:val="1"/>
      <w:numFmt w:val="bullet"/>
      <w:lvlText w:val=""/>
      <w:lvlJc w:val="left"/>
      <w:pPr>
        <w:ind w:left="720" w:hanging="360"/>
      </w:pPr>
      <w:rPr>
        <w:rFonts w:ascii="Symbol" w:hAnsi="Symbol"/>
      </w:rPr>
    </w:lvl>
    <w:lvl w:ilvl="1" w:tplc="14DEEF9C">
      <w:start w:val="1"/>
      <w:numFmt w:val="bullet"/>
      <w:lvlText w:val="o"/>
      <w:lvlJc w:val="left"/>
      <w:pPr>
        <w:tabs>
          <w:tab w:val="num" w:pos="1440"/>
        </w:tabs>
        <w:ind w:left="1440" w:hanging="360"/>
      </w:pPr>
      <w:rPr>
        <w:rFonts w:ascii="Courier New" w:hAnsi="Courier New"/>
      </w:rPr>
    </w:lvl>
    <w:lvl w:ilvl="2" w:tplc="E06E6410">
      <w:start w:val="1"/>
      <w:numFmt w:val="bullet"/>
      <w:lvlText w:val=""/>
      <w:lvlJc w:val="left"/>
      <w:pPr>
        <w:tabs>
          <w:tab w:val="num" w:pos="2160"/>
        </w:tabs>
        <w:ind w:left="2160" w:hanging="360"/>
      </w:pPr>
      <w:rPr>
        <w:rFonts w:ascii="Wingdings" w:hAnsi="Wingdings"/>
      </w:rPr>
    </w:lvl>
    <w:lvl w:ilvl="3" w:tplc="1480E19E">
      <w:start w:val="1"/>
      <w:numFmt w:val="bullet"/>
      <w:lvlText w:val=""/>
      <w:lvlJc w:val="left"/>
      <w:pPr>
        <w:tabs>
          <w:tab w:val="num" w:pos="2880"/>
        </w:tabs>
        <w:ind w:left="2880" w:hanging="360"/>
      </w:pPr>
      <w:rPr>
        <w:rFonts w:ascii="Symbol" w:hAnsi="Symbol"/>
      </w:rPr>
    </w:lvl>
    <w:lvl w:ilvl="4" w:tplc="ECC287A4">
      <w:start w:val="1"/>
      <w:numFmt w:val="bullet"/>
      <w:lvlText w:val="o"/>
      <w:lvlJc w:val="left"/>
      <w:pPr>
        <w:tabs>
          <w:tab w:val="num" w:pos="3600"/>
        </w:tabs>
        <w:ind w:left="3600" w:hanging="360"/>
      </w:pPr>
      <w:rPr>
        <w:rFonts w:ascii="Courier New" w:hAnsi="Courier New"/>
      </w:rPr>
    </w:lvl>
    <w:lvl w:ilvl="5" w:tplc="45CC0130">
      <w:start w:val="1"/>
      <w:numFmt w:val="bullet"/>
      <w:lvlText w:val=""/>
      <w:lvlJc w:val="left"/>
      <w:pPr>
        <w:tabs>
          <w:tab w:val="num" w:pos="4320"/>
        </w:tabs>
        <w:ind w:left="4320" w:hanging="360"/>
      </w:pPr>
      <w:rPr>
        <w:rFonts w:ascii="Wingdings" w:hAnsi="Wingdings"/>
      </w:rPr>
    </w:lvl>
    <w:lvl w:ilvl="6" w:tplc="D9D08A60">
      <w:start w:val="1"/>
      <w:numFmt w:val="bullet"/>
      <w:lvlText w:val=""/>
      <w:lvlJc w:val="left"/>
      <w:pPr>
        <w:tabs>
          <w:tab w:val="num" w:pos="5040"/>
        </w:tabs>
        <w:ind w:left="5040" w:hanging="360"/>
      </w:pPr>
      <w:rPr>
        <w:rFonts w:ascii="Symbol" w:hAnsi="Symbol"/>
      </w:rPr>
    </w:lvl>
    <w:lvl w:ilvl="7" w:tplc="FBC0B3DC">
      <w:start w:val="1"/>
      <w:numFmt w:val="bullet"/>
      <w:lvlText w:val="o"/>
      <w:lvlJc w:val="left"/>
      <w:pPr>
        <w:tabs>
          <w:tab w:val="num" w:pos="5760"/>
        </w:tabs>
        <w:ind w:left="5760" w:hanging="360"/>
      </w:pPr>
      <w:rPr>
        <w:rFonts w:ascii="Courier New" w:hAnsi="Courier New"/>
      </w:rPr>
    </w:lvl>
    <w:lvl w:ilvl="8" w:tplc="72AC9272">
      <w:start w:val="1"/>
      <w:numFmt w:val="bullet"/>
      <w:lvlText w:val=""/>
      <w:lvlJc w:val="left"/>
      <w:pPr>
        <w:tabs>
          <w:tab w:val="num" w:pos="6480"/>
        </w:tabs>
        <w:ind w:left="6480" w:hanging="360"/>
      </w:pPr>
      <w:rPr>
        <w:rFonts w:ascii="Wingdings" w:hAnsi="Wingdings"/>
      </w:rPr>
    </w:lvl>
  </w:abstractNum>
  <w:abstractNum w:abstractNumId="74">
    <w:nsid w:val="7223050C"/>
    <w:multiLevelType w:val="hybridMultilevel"/>
    <w:tmpl w:val="7223050C"/>
    <w:lvl w:ilvl="0" w:tplc="22CEA672">
      <w:start w:val="1"/>
      <w:numFmt w:val="bullet"/>
      <w:lvlText w:val=""/>
      <w:lvlJc w:val="left"/>
      <w:pPr>
        <w:ind w:left="720" w:hanging="360"/>
      </w:pPr>
      <w:rPr>
        <w:rFonts w:ascii="Symbol" w:hAnsi="Symbol"/>
      </w:rPr>
    </w:lvl>
    <w:lvl w:ilvl="1" w:tplc="0B6A62B4">
      <w:start w:val="1"/>
      <w:numFmt w:val="bullet"/>
      <w:lvlText w:val="o"/>
      <w:lvlJc w:val="left"/>
      <w:pPr>
        <w:tabs>
          <w:tab w:val="num" w:pos="1440"/>
        </w:tabs>
        <w:ind w:left="1440" w:hanging="360"/>
      </w:pPr>
      <w:rPr>
        <w:rFonts w:ascii="Courier New" w:hAnsi="Courier New"/>
      </w:rPr>
    </w:lvl>
    <w:lvl w:ilvl="2" w:tplc="0D9A37E0">
      <w:start w:val="1"/>
      <w:numFmt w:val="bullet"/>
      <w:lvlText w:val=""/>
      <w:lvlJc w:val="left"/>
      <w:pPr>
        <w:tabs>
          <w:tab w:val="num" w:pos="2160"/>
        </w:tabs>
        <w:ind w:left="2160" w:hanging="360"/>
      </w:pPr>
      <w:rPr>
        <w:rFonts w:ascii="Wingdings" w:hAnsi="Wingdings"/>
      </w:rPr>
    </w:lvl>
    <w:lvl w:ilvl="3" w:tplc="1E52B1F2">
      <w:start w:val="1"/>
      <w:numFmt w:val="bullet"/>
      <w:lvlText w:val=""/>
      <w:lvlJc w:val="left"/>
      <w:pPr>
        <w:tabs>
          <w:tab w:val="num" w:pos="2880"/>
        </w:tabs>
        <w:ind w:left="2880" w:hanging="360"/>
      </w:pPr>
      <w:rPr>
        <w:rFonts w:ascii="Symbol" w:hAnsi="Symbol"/>
      </w:rPr>
    </w:lvl>
    <w:lvl w:ilvl="4" w:tplc="084CCAF6">
      <w:start w:val="1"/>
      <w:numFmt w:val="bullet"/>
      <w:lvlText w:val="o"/>
      <w:lvlJc w:val="left"/>
      <w:pPr>
        <w:tabs>
          <w:tab w:val="num" w:pos="3600"/>
        </w:tabs>
        <w:ind w:left="3600" w:hanging="360"/>
      </w:pPr>
      <w:rPr>
        <w:rFonts w:ascii="Courier New" w:hAnsi="Courier New"/>
      </w:rPr>
    </w:lvl>
    <w:lvl w:ilvl="5" w:tplc="C5E0A4F4">
      <w:start w:val="1"/>
      <w:numFmt w:val="bullet"/>
      <w:lvlText w:val=""/>
      <w:lvlJc w:val="left"/>
      <w:pPr>
        <w:tabs>
          <w:tab w:val="num" w:pos="4320"/>
        </w:tabs>
        <w:ind w:left="4320" w:hanging="360"/>
      </w:pPr>
      <w:rPr>
        <w:rFonts w:ascii="Wingdings" w:hAnsi="Wingdings"/>
      </w:rPr>
    </w:lvl>
    <w:lvl w:ilvl="6" w:tplc="B6B032B8">
      <w:start w:val="1"/>
      <w:numFmt w:val="bullet"/>
      <w:lvlText w:val=""/>
      <w:lvlJc w:val="left"/>
      <w:pPr>
        <w:tabs>
          <w:tab w:val="num" w:pos="5040"/>
        </w:tabs>
        <w:ind w:left="5040" w:hanging="360"/>
      </w:pPr>
      <w:rPr>
        <w:rFonts w:ascii="Symbol" w:hAnsi="Symbol"/>
      </w:rPr>
    </w:lvl>
    <w:lvl w:ilvl="7" w:tplc="1B2A68D4">
      <w:start w:val="1"/>
      <w:numFmt w:val="bullet"/>
      <w:lvlText w:val="o"/>
      <w:lvlJc w:val="left"/>
      <w:pPr>
        <w:tabs>
          <w:tab w:val="num" w:pos="5760"/>
        </w:tabs>
        <w:ind w:left="5760" w:hanging="360"/>
      </w:pPr>
      <w:rPr>
        <w:rFonts w:ascii="Courier New" w:hAnsi="Courier New"/>
      </w:rPr>
    </w:lvl>
    <w:lvl w:ilvl="8" w:tplc="2DA2115C">
      <w:start w:val="1"/>
      <w:numFmt w:val="bullet"/>
      <w:lvlText w:val=""/>
      <w:lvlJc w:val="left"/>
      <w:pPr>
        <w:tabs>
          <w:tab w:val="num" w:pos="6480"/>
        </w:tabs>
        <w:ind w:left="6480" w:hanging="360"/>
      </w:pPr>
      <w:rPr>
        <w:rFonts w:ascii="Wingdings" w:hAnsi="Wingdings"/>
      </w:rPr>
    </w:lvl>
  </w:abstractNum>
  <w:abstractNum w:abstractNumId="75">
    <w:nsid w:val="7223050D"/>
    <w:multiLevelType w:val="hybridMultilevel"/>
    <w:tmpl w:val="7223050D"/>
    <w:lvl w:ilvl="0" w:tplc="2D4882B6">
      <w:start w:val="1"/>
      <w:numFmt w:val="bullet"/>
      <w:lvlText w:val=""/>
      <w:lvlJc w:val="left"/>
      <w:pPr>
        <w:ind w:left="720" w:hanging="360"/>
      </w:pPr>
      <w:rPr>
        <w:rFonts w:ascii="Symbol" w:hAnsi="Symbol"/>
      </w:rPr>
    </w:lvl>
    <w:lvl w:ilvl="1" w:tplc="135E80D4">
      <w:start w:val="1"/>
      <w:numFmt w:val="bullet"/>
      <w:lvlText w:val="o"/>
      <w:lvlJc w:val="left"/>
      <w:pPr>
        <w:tabs>
          <w:tab w:val="num" w:pos="1440"/>
        </w:tabs>
        <w:ind w:left="1440" w:hanging="360"/>
      </w:pPr>
      <w:rPr>
        <w:rFonts w:ascii="Courier New" w:hAnsi="Courier New"/>
      </w:rPr>
    </w:lvl>
    <w:lvl w:ilvl="2" w:tplc="A74453DE">
      <w:start w:val="1"/>
      <w:numFmt w:val="bullet"/>
      <w:lvlText w:val=""/>
      <w:lvlJc w:val="left"/>
      <w:pPr>
        <w:tabs>
          <w:tab w:val="num" w:pos="2160"/>
        </w:tabs>
        <w:ind w:left="2160" w:hanging="360"/>
      </w:pPr>
      <w:rPr>
        <w:rFonts w:ascii="Wingdings" w:hAnsi="Wingdings"/>
      </w:rPr>
    </w:lvl>
    <w:lvl w:ilvl="3" w:tplc="F08CA9C0">
      <w:start w:val="1"/>
      <w:numFmt w:val="bullet"/>
      <w:lvlText w:val=""/>
      <w:lvlJc w:val="left"/>
      <w:pPr>
        <w:tabs>
          <w:tab w:val="num" w:pos="2880"/>
        </w:tabs>
        <w:ind w:left="2880" w:hanging="360"/>
      </w:pPr>
      <w:rPr>
        <w:rFonts w:ascii="Symbol" w:hAnsi="Symbol"/>
      </w:rPr>
    </w:lvl>
    <w:lvl w:ilvl="4" w:tplc="A1082E8E">
      <w:start w:val="1"/>
      <w:numFmt w:val="bullet"/>
      <w:lvlText w:val="o"/>
      <w:lvlJc w:val="left"/>
      <w:pPr>
        <w:tabs>
          <w:tab w:val="num" w:pos="3600"/>
        </w:tabs>
        <w:ind w:left="3600" w:hanging="360"/>
      </w:pPr>
      <w:rPr>
        <w:rFonts w:ascii="Courier New" w:hAnsi="Courier New"/>
      </w:rPr>
    </w:lvl>
    <w:lvl w:ilvl="5" w:tplc="7AFA4ED4">
      <w:start w:val="1"/>
      <w:numFmt w:val="bullet"/>
      <w:lvlText w:val=""/>
      <w:lvlJc w:val="left"/>
      <w:pPr>
        <w:tabs>
          <w:tab w:val="num" w:pos="4320"/>
        </w:tabs>
        <w:ind w:left="4320" w:hanging="360"/>
      </w:pPr>
      <w:rPr>
        <w:rFonts w:ascii="Wingdings" w:hAnsi="Wingdings"/>
      </w:rPr>
    </w:lvl>
    <w:lvl w:ilvl="6" w:tplc="92F08614">
      <w:start w:val="1"/>
      <w:numFmt w:val="bullet"/>
      <w:lvlText w:val=""/>
      <w:lvlJc w:val="left"/>
      <w:pPr>
        <w:tabs>
          <w:tab w:val="num" w:pos="5040"/>
        </w:tabs>
        <w:ind w:left="5040" w:hanging="360"/>
      </w:pPr>
      <w:rPr>
        <w:rFonts w:ascii="Symbol" w:hAnsi="Symbol"/>
      </w:rPr>
    </w:lvl>
    <w:lvl w:ilvl="7" w:tplc="23085154">
      <w:start w:val="1"/>
      <w:numFmt w:val="bullet"/>
      <w:lvlText w:val="o"/>
      <w:lvlJc w:val="left"/>
      <w:pPr>
        <w:tabs>
          <w:tab w:val="num" w:pos="5760"/>
        </w:tabs>
        <w:ind w:left="5760" w:hanging="360"/>
      </w:pPr>
      <w:rPr>
        <w:rFonts w:ascii="Courier New" w:hAnsi="Courier New"/>
      </w:rPr>
    </w:lvl>
    <w:lvl w:ilvl="8" w:tplc="68FC1EC4">
      <w:start w:val="1"/>
      <w:numFmt w:val="bullet"/>
      <w:lvlText w:val=""/>
      <w:lvlJc w:val="left"/>
      <w:pPr>
        <w:tabs>
          <w:tab w:val="num" w:pos="6480"/>
        </w:tabs>
        <w:ind w:left="6480" w:hanging="360"/>
      </w:pPr>
      <w:rPr>
        <w:rFonts w:ascii="Wingdings" w:hAnsi="Wingdings"/>
      </w:rPr>
    </w:lvl>
  </w:abstractNum>
  <w:abstractNum w:abstractNumId="76">
    <w:nsid w:val="7223050E"/>
    <w:multiLevelType w:val="multilevel"/>
    <w:tmpl w:val="7223050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7">
    <w:nsid w:val="7223050F"/>
    <w:multiLevelType w:val="hybridMultilevel"/>
    <w:tmpl w:val="7223050F"/>
    <w:lvl w:ilvl="0" w:tplc="46F0ECFA">
      <w:start w:val="1"/>
      <w:numFmt w:val="bullet"/>
      <w:lvlText w:val=""/>
      <w:lvlJc w:val="left"/>
      <w:pPr>
        <w:ind w:left="720" w:hanging="360"/>
      </w:pPr>
      <w:rPr>
        <w:rFonts w:ascii="Symbol" w:hAnsi="Symbol"/>
      </w:rPr>
    </w:lvl>
    <w:lvl w:ilvl="1" w:tplc="B820527A">
      <w:start w:val="1"/>
      <w:numFmt w:val="bullet"/>
      <w:lvlText w:val="o"/>
      <w:lvlJc w:val="left"/>
      <w:pPr>
        <w:tabs>
          <w:tab w:val="num" w:pos="1440"/>
        </w:tabs>
        <w:ind w:left="1440" w:hanging="360"/>
      </w:pPr>
      <w:rPr>
        <w:rFonts w:ascii="Courier New" w:hAnsi="Courier New"/>
      </w:rPr>
    </w:lvl>
    <w:lvl w:ilvl="2" w:tplc="9F2E3826">
      <w:start w:val="1"/>
      <w:numFmt w:val="bullet"/>
      <w:lvlText w:val=""/>
      <w:lvlJc w:val="left"/>
      <w:pPr>
        <w:tabs>
          <w:tab w:val="num" w:pos="2160"/>
        </w:tabs>
        <w:ind w:left="2160" w:hanging="360"/>
      </w:pPr>
      <w:rPr>
        <w:rFonts w:ascii="Wingdings" w:hAnsi="Wingdings"/>
      </w:rPr>
    </w:lvl>
    <w:lvl w:ilvl="3" w:tplc="68620F02">
      <w:start w:val="1"/>
      <w:numFmt w:val="bullet"/>
      <w:lvlText w:val=""/>
      <w:lvlJc w:val="left"/>
      <w:pPr>
        <w:tabs>
          <w:tab w:val="num" w:pos="2880"/>
        </w:tabs>
        <w:ind w:left="2880" w:hanging="360"/>
      </w:pPr>
      <w:rPr>
        <w:rFonts w:ascii="Symbol" w:hAnsi="Symbol"/>
      </w:rPr>
    </w:lvl>
    <w:lvl w:ilvl="4" w:tplc="3C306DB8">
      <w:start w:val="1"/>
      <w:numFmt w:val="bullet"/>
      <w:lvlText w:val="o"/>
      <w:lvlJc w:val="left"/>
      <w:pPr>
        <w:tabs>
          <w:tab w:val="num" w:pos="3600"/>
        </w:tabs>
        <w:ind w:left="3600" w:hanging="360"/>
      </w:pPr>
      <w:rPr>
        <w:rFonts w:ascii="Courier New" w:hAnsi="Courier New"/>
      </w:rPr>
    </w:lvl>
    <w:lvl w:ilvl="5" w:tplc="912486A0">
      <w:start w:val="1"/>
      <w:numFmt w:val="bullet"/>
      <w:lvlText w:val=""/>
      <w:lvlJc w:val="left"/>
      <w:pPr>
        <w:tabs>
          <w:tab w:val="num" w:pos="4320"/>
        </w:tabs>
        <w:ind w:left="4320" w:hanging="360"/>
      </w:pPr>
      <w:rPr>
        <w:rFonts w:ascii="Wingdings" w:hAnsi="Wingdings"/>
      </w:rPr>
    </w:lvl>
    <w:lvl w:ilvl="6" w:tplc="1F14B3B2">
      <w:start w:val="1"/>
      <w:numFmt w:val="bullet"/>
      <w:lvlText w:val=""/>
      <w:lvlJc w:val="left"/>
      <w:pPr>
        <w:tabs>
          <w:tab w:val="num" w:pos="5040"/>
        </w:tabs>
        <w:ind w:left="5040" w:hanging="360"/>
      </w:pPr>
      <w:rPr>
        <w:rFonts w:ascii="Symbol" w:hAnsi="Symbol"/>
      </w:rPr>
    </w:lvl>
    <w:lvl w:ilvl="7" w:tplc="300A7816">
      <w:start w:val="1"/>
      <w:numFmt w:val="bullet"/>
      <w:lvlText w:val="o"/>
      <w:lvlJc w:val="left"/>
      <w:pPr>
        <w:tabs>
          <w:tab w:val="num" w:pos="5760"/>
        </w:tabs>
        <w:ind w:left="5760" w:hanging="360"/>
      </w:pPr>
      <w:rPr>
        <w:rFonts w:ascii="Courier New" w:hAnsi="Courier New"/>
      </w:rPr>
    </w:lvl>
    <w:lvl w:ilvl="8" w:tplc="7E642986">
      <w:start w:val="1"/>
      <w:numFmt w:val="bullet"/>
      <w:lvlText w:val=""/>
      <w:lvlJc w:val="left"/>
      <w:pPr>
        <w:tabs>
          <w:tab w:val="num" w:pos="6480"/>
        </w:tabs>
        <w:ind w:left="6480" w:hanging="360"/>
      </w:pPr>
      <w:rPr>
        <w:rFonts w:ascii="Wingdings" w:hAnsi="Wingdings"/>
      </w:rPr>
    </w:lvl>
  </w:abstractNum>
  <w:abstractNum w:abstractNumId="78">
    <w:nsid w:val="72230510"/>
    <w:multiLevelType w:val="multilevel"/>
    <w:tmpl w:val="7223051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9">
    <w:nsid w:val="72230511"/>
    <w:multiLevelType w:val="hybridMultilevel"/>
    <w:tmpl w:val="72230511"/>
    <w:lvl w:ilvl="0" w:tplc="09A2CA72">
      <w:start w:val="1"/>
      <w:numFmt w:val="bullet"/>
      <w:lvlText w:val=""/>
      <w:lvlJc w:val="left"/>
      <w:pPr>
        <w:ind w:left="720" w:hanging="360"/>
      </w:pPr>
      <w:rPr>
        <w:rFonts w:ascii="Symbol" w:hAnsi="Symbol"/>
      </w:rPr>
    </w:lvl>
    <w:lvl w:ilvl="1" w:tplc="0712A8AC">
      <w:start w:val="1"/>
      <w:numFmt w:val="bullet"/>
      <w:lvlText w:val="o"/>
      <w:lvlJc w:val="left"/>
      <w:pPr>
        <w:tabs>
          <w:tab w:val="num" w:pos="1440"/>
        </w:tabs>
        <w:ind w:left="1440" w:hanging="360"/>
      </w:pPr>
      <w:rPr>
        <w:rFonts w:ascii="Courier New" w:hAnsi="Courier New"/>
      </w:rPr>
    </w:lvl>
    <w:lvl w:ilvl="2" w:tplc="6174F91A">
      <w:start w:val="1"/>
      <w:numFmt w:val="bullet"/>
      <w:lvlText w:val=""/>
      <w:lvlJc w:val="left"/>
      <w:pPr>
        <w:tabs>
          <w:tab w:val="num" w:pos="2160"/>
        </w:tabs>
        <w:ind w:left="2160" w:hanging="360"/>
      </w:pPr>
      <w:rPr>
        <w:rFonts w:ascii="Wingdings" w:hAnsi="Wingdings"/>
      </w:rPr>
    </w:lvl>
    <w:lvl w:ilvl="3" w:tplc="05863B74">
      <w:start w:val="1"/>
      <w:numFmt w:val="bullet"/>
      <w:lvlText w:val=""/>
      <w:lvlJc w:val="left"/>
      <w:pPr>
        <w:tabs>
          <w:tab w:val="num" w:pos="2880"/>
        </w:tabs>
        <w:ind w:left="2880" w:hanging="360"/>
      </w:pPr>
      <w:rPr>
        <w:rFonts w:ascii="Symbol" w:hAnsi="Symbol"/>
      </w:rPr>
    </w:lvl>
    <w:lvl w:ilvl="4" w:tplc="4FECAA02">
      <w:start w:val="1"/>
      <w:numFmt w:val="bullet"/>
      <w:lvlText w:val="o"/>
      <w:lvlJc w:val="left"/>
      <w:pPr>
        <w:tabs>
          <w:tab w:val="num" w:pos="3600"/>
        </w:tabs>
        <w:ind w:left="3600" w:hanging="360"/>
      </w:pPr>
      <w:rPr>
        <w:rFonts w:ascii="Courier New" w:hAnsi="Courier New"/>
      </w:rPr>
    </w:lvl>
    <w:lvl w:ilvl="5" w:tplc="C45A26D2">
      <w:start w:val="1"/>
      <w:numFmt w:val="bullet"/>
      <w:lvlText w:val=""/>
      <w:lvlJc w:val="left"/>
      <w:pPr>
        <w:tabs>
          <w:tab w:val="num" w:pos="4320"/>
        </w:tabs>
        <w:ind w:left="4320" w:hanging="360"/>
      </w:pPr>
      <w:rPr>
        <w:rFonts w:ascii="Wingdings" w:hAnsi="Wingdings"/>
      </w:rPr>
    </w:lvl>
    <w:lvl w:ilvl="6" w:tplc="B600C048">
      <w:start w:val="1"/>
      <w:numFmt w:val="bullet"/>
      <w:lvlText w:val=""/>
      <w:lvlJc w:val="left"/>
      <w:pPr>
        <w:tabs>
          <w:tab w:val="num" w:pos="5040"/>
        </w:tabs>
        <w:ind w:left="5040" w:hanging="360"/>
      </w:pPr>
      <w:rPr>
        <w:rFonts w:ascii="Symbol" w:hAnsi="Symbol"/>
      </w:rPr>
    </w:lvl>
    <w:lvl w:ilvl="7" w:tplc="2EB663C6">
      <w:start w:val="1"/>
      <w:numFmt w:val="bullet"/>
      <w:lvlText w:val="o"/>
      <w:lvlJc w:val="left"/>
      <w:pPr>
        <w:tabs>
          <w:tab w:val="num" w:pos="5760"/>
        </w:tabs>
        <w:ind w:left="5760" w:hanging="360"/>
      </w:pPr>
      <w:rPr>
        <w:rFonts w:ascii="Courier New" w:hAnsi="Courier New"/>
      </w:rPr>
    </w:lvl>
    <w:lvl w:ilvl="8" w:tplc="1C425846">
      <w:start w:val="1"/>
      <w:numFmt w:val="bullet"/>
      <w:lvlText w:val=""/>
      <w:lvlJc w:val="left"/>
      <w:pPr>
        <w:tabs>
          <w:tab w:val="num" w:pos="6480"/>
        </w:tabs>
        <w:ind w:left="6480" w:hanging="360"/>
      </w:pPr>
      <w:rPr>
        <w:rFonts w:ascii="Wingdings" w:hAnsi="Wingdings"/>
      </w:rPr>
    </w:lvl>
  </w:abstractNum>
  <w:abstractNum w:abstractNumId="80">
    <w:nsid w:val="72230512"/>
    <w:multiLevelType w:val="multilevel"/>
    <w:tmpl w:val="7223051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1">
    <w:nsid w:val="72230513"/>
    <w:multiLevelType w:val="hybridMultilevel"/>
    <w:tmpl w:val="72230513"/>
    <w:lvl w:ilvl="0" w:tplc="480427C2">
      <w:start w:val="1"/>
      <w:numFmt w:val="bullet"/>
      <w:lvlText w:val=""/>
      <w:lvlJc w:val="left"/>
      <w:pPr>
        <w:ind w:left="720" w:hanging="360"/>
      </w:pPr>
      <w:rPr>
        <w:rFonts w:ascii="Symbol" w:hAnsi="Symbol"/>
      </w:rPr>
    </w:lvl>
    <w:lvl w:ilvl="1" w:tplc="A5BA6428">
      <w:start w:val="1"/>
      <w:numFmt w:val="bullet"/>
      <w:lvlText w:val="o"/>
      <w:lvlJc w:val="left"/>
      <w:pPr>
        <w:tabs>
          <w:tab w:val="num" w:pos="1440"/>
        </w:tabs>
        <w:ind w:left="1440" w:hanging="360"/>
      </w:pPr>
      <w:rPr>
        <w:rFonts w:ascii="Courier New" w:hAnsi="Courier New"/>
      </w:rPr>
    </w:lvl>
    <w:lvl w:ilvl="2" w:tplc="B658E016">
      <w:start w:val="1"/>
      <w:numFmt w:val="bullet"/>
      <w:lvlText w:val=""/>
      <w:lvlJc w:val="left"/>
      <w:pPr>
        <w:tabs>
          <w:tab w:val="num" w:pos="2160"/>
        </w:tabs>
        <w:ind w:left="2160" w:hanging="360"/>
      </w:pPr>
      <w:rPr>
        <w:rFonts w:ascii="Wingdings" w:hAnsi="Wingdings"/>
      </w:rPr>
    </w:lvl>
    <w:lvl w:ilvl="3" w:tplc="67E88846">
      <w:start w:val="1"/>
      <w:numFmt w:val="bullet"/>
      <w:lvlText w:val=""/>
      <w:lvlJc w:val="left"/>
      <w:pPr>
        <w:tabs>
          <w:tab w:val="num" w:pos="2880"/>
        </w:tabs>
        <w:ind w:left="2880" w:hanging="360"/>
      </w:pPr>
      <w:rPr>
        <w:rFonts w:ascii="Symbol" w:hAnsi="Symbol"/>
      </w:rPr>
    </w:lvl>
    <w:lvl w:ilvl="4" w:tplc="539055B4">
      <w:start w:val="1"/>
      <w:numFmt w:val="bullet"/>
      <w:lvlText w:val="o"/>
      <w:lvlJc w:val="left"/>
      <w:pPr>
        <w:tabs>
          <w:tab w:val="num" w:pos="3600"/>
        </w:tabs>
        <w:ind w:left="3600" w:hanging="360"/>
      </w:pPr>
      <w:rPr>
        <w:rFonts w:ascii="Courier New" w:hAnsi="Courier New"/>
      </w:rPr>
    </w:lvl>
    <w:lvl w:ilvl="5" w:tplc="2EACCC0E">
      <w:start w:val="1"/>
      <w:numFmt w:val="bullet"/>
      <w:lvlText w:val=""/>
      <w:lvlJc w:val="left"/>
      <w:pPr>
        <w:tabs>
          <w:tab w:val="num" w:pos="4320"/>
        </w:tabs>
        <w:ind w:left="4320" w:hanging="360"/>
      </w:pPr>
      <w:rPr>
        <w:rFonts w:ascii="Wingdings" w:hAnsi="Wingdings"/>
      </w:rPr>
    </w:lvl>
    <w:lvl w:ilvl="6" w:tplc="C304248C">
      <w:start w:val="1"/>
      <w:numFmt w:val="bullet"/>
      <w:lvlText w:val=""/>
      <w:lvlJc w:val="left"/>
      <w:pPr>
        <w:tabs>
          <w:tab w:val="num" w:pos="5040"/>
        </w:tabs>
        <w:ind w:left="5040" w:hanging="360"/>
      </w:pPr>
      <w:rPr>
        <w:rFonts w:ascii="Symbol" w:hAnsi="Symbol"/>
      </w:rPr>
    </w:lvl>
    <w:lvl w:ilvl="7" w:tplc="6C685C30">
      <w:start w:val="1"/>
      <w:numFmt w:val="bullet"/>
      <w:lvlText w:val="o"/>
      <w:lvlJc w:val="left"/>
      <w:pPr>
        <w:tabs>
          <w:tab w:val="num" w:pos="5760"/>
        </w:tabs>
        <w:ind w:left="5760" w:hanging="360"/>
      </w:pPr>
      <w:rPr>
        <w:rFonts w:ascii="Courier New" w:hAnsi="Courier New"/>
      </w:rPr>
    </w:lvl>
    <w:lvl w:ilvl="8" w:tplc="3694220C">
      <w:start w:val="1"/>
      <w:numFmt w:val="bullet"/>
      <w:lvlText w:val=""/>
      <w:lvlJc w:val="left"/>
      <w:pPr>
        <w:tabs>
          <w:tab w:val="num" w:pos="6480"/>
        </w:tabs>
        <w:ind w:left="6480" w:hanging="360"/>
      </w:pPr>
      <w:rPr>
        <w:rFonts w:ascii="Wingdings" w:hAnsi="Wingdings"/>
      </w:rPr>
    </w:lvl>
  </w:abstractNum>
  <w:abstractNum w:abstractNumId="82">
    <w:nsid w:val="72230514"/>
    <w:multiLevelType w:val="multilevel"/>
    <w:tmpl w:val="7223051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3">
    <w:nsid w:val="72230515"/>
    <w:multiLevelType w:val="hybridMultilevel"/>
    <w:tmpl w:val="72230515"/>
    <w:lvl w:ilvl="0" w:tplc="991A120A">
      <w:start w:val="1"/>
      <w:numFmt w:val="bullet"/>
      <w:lvlText w:val=""/>
      <w:lvlJc w:val="left"/>
      <w:pPr>
        <w:ind w:left="720" w:hanging="360"/>
      </w:pPr>
      <w:rPr>
        <w:rFonts w:ascii="Symbol" w:hAnsi="Symbol"/>
      </w:rPr>
    </w:lvl>
    <w:lvl w:ilvl="1" w:tplc="8222BC20">
      <w:start w:val="1"/>
      <w:numFmt w:val="bullet"/>
      <w:lvlText w:val="o"/>
      <w:lvlJc w:val="left"/>
      <w:pPr>
        <w:tabs>
          <w:tab w:val="num" w:pos="1440"/>
        </w:tabs>
        <w:ind w:left="1440" w:hanging="360"/>
      </w:pPr>
      <w:rPr>
        <w:rFonts w:ascii="Courier New" w:hAnsi="Courier New"/>
      </w:rPr>
    </w:lvl>
    <w:lvl w:ilvl="2" w:tplc="A170C83E">
      <w:start w:val="1"/>
      <w:numFmt w:val="bullet"/>
      <w:lvlText w:val=""/>
      <w:lvlJc w:val="left"/>
      <w:pPr>
        <w:tabs>
          <w:tab w:val="num" w:pos="2160"/>
        </w:tabs>
        <w:ind w:left="2160" w:hanging="360"/>
      </w:pPr>
      <w:rPr>
        <w:rFonts w:ascii="Wingdings" w:hAnsi="Wingdings"/>
      </w:rPr>
    </w:lvl>
    <w:lvl w:ilvl="3" w:tplc="9A041F4A">
      <w:start w:val="1"/>
      <w:numFmt w:val="bullet"/>
      <w:lvlText w:val=""/>
      <w:lvlJc w:val="left"/>
      <w:pPr>
        <w:tabs>
          <w:tab w:val="num" w:pos="2880"/>
        </w:tabs>
        <w:ind w:left="2880" w:hanging="360"/>
      </w:pPr>
      <w:rPr>
        <w:rFonts w:ascii="Symbol" w:hAnsi="Symbol"/>
      </w:rPr>
    </w:lvl>
    <w:lvl w:ilvl="4" w:tplc="CC10194E">
      <w:start w:val="1"/>
      <w:numFmt w:val="bullet"/>
      <w:lvlText w:val="o"/>
      <w:lvlJc w:val="left"/>
      <w:pPr>
        <w:tabs>
          <w:tab w:val="num" w:pos="3600"/>
        </w:tabs>
        <w:ind w:left="3600" w:hanging="360"/>
      </w:pPr>
      <w:rPr>
        <w:rFonts w:ascii="Courier New" w:hAnsi="Courier New"/>
      </w:rPr>
    </w:lvl>
    <w:lvl w:ilvl="5" w:tplc="2CC4B750">
      <w:start w:val="1"/>
      <w:numFmt w:val="bullet"/>
      <w:lvlText w:val=""/>
      <w:lvlJc w:val="left"/>
      <w:pPr>
        <w:tabs>
          <w:tab w:val="num" w:pos="4320"/>
        </w:tabs>
        <w:ind w:left="4320" w:hanging="360"/>
      </w:pPr>
      <w:rPr>
        <w:rFonts w:ascii="Wingdings" w:hAnsi="Wingdings"/>
      </w:rPr>
    </w:lvl>
    <w:lvl w:ilvl="6" w:tplc="30743F12">
      <w:start w:val="1"/>
      <w:numFmt w:val="bullet"/>
      <w:lvlText w:val=""/>
      <w:lvlJc w:val="left"/>
      <w:pPr>
        <w:tabs>
          <w:tab w:val="num" w:pos="5040"/>
        </w:tabs>
        <w:ind w:left="5040" w:hanging="360"/>
      </w:pPr>
      <w:rPr>
        <w:rFonts w:ascii="Symbol" w:hAnsi="Symbol"/>
      </w:rPr>
    </w:lvl>
    <w:lvl w:ilvl="7" w:tplc="F82C4BCE">
      <w:start w:val="1"/>
      <w:numFmt w:val="bullet"/>
      <w:lvlText w:val="o"/>
      <w:lvlJc w:val="left"/>
      <w:pPr>
        <w:tabs>
          <w:tab w:val="num" w:pos="5760"/>
        </w:tabs>
        <w:ind w:left="5760" w:hanging="360"/>
      </w:pPr>
      <w:rPr>
        <w:rFonts w:ascii="Courier New" w:hAnsi="Courier New"/>
      </w:rPr>
    </w:lvl>
    <w:lvl w:ilvl="8" w:tplc="7C507860">
      <w:start w:val="1"/>
      <w:numFmt w:val="bullet"/>
      <w:lvlText w:val=""/>
      <w:lvlJc w:val="left"/>
      <w:pPr>
        <w:tabs>
          <w:tab w:val="num" w:pos="6480"/>
        </w:tabs>
        <w:ind w:left="6480" w:hanging="360"/>
      </w:pPr>
      <w:rPr>
        <w:rFonts w:ascii="Wingdings" w:hAnsi="Wingdings"/>
      </w:rPr>
    </w:lvl>
  </w:abstractNum>
  <w:abstractNum w:abstractNumId="84">
    <w:nsid w:val="72230516"/>
    <w:multiLevelType w:val="multilevel"/>
    <w:tmpl w:val="7223051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5">
    <w:nsid w:val="72230517"/>
    <w:multiLevelType w:val="multilevel"/>
    <w:tmpl w:val="7223051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nsid w:val="72230518"/>
    <w:multiLevelType w:val="hybridMultilevel"/>
    <w:tmpl w:val="72230518"/>
    <w:lvl w:ilvl="0" w:tplc="DE1802AE">
      <w:start w:val="1"/>
      <w:numFmt w:val="bullet"/>
      <w:lvlText w:val=""/>
      <w:lvlJc w:val="left"/>
      <w:pPr>
        <w:ind w:left="720" w:hanging="360"/>
      </w:pPr>
      <w:rPr>
        <w:rFonts w:ascii="Symbol" w:hAnsi="Symbol"/>
      </w:rPr>
    </w:lvl>
    <w:lvl w:ilvl="1" w:tplc="09F8C8EA">
      <w:start w:val="1"/>
      <w:numFmt w:val="bullet"/>
      <w:lvlText w:val="o"/>
      <w:lvlJc w:val="left"/>
      <w:pPr>
        <w:tabs>
          <w:tab w:val="num" w:pos="1440"/>
        </w:tabs>
        <w:ind w:left="1440" w:hanging="360"/>
      </w:pPr>
      <w:rPr>
        <w:rFonts w:ascii="Courier New" w:hAnsi="Courier New"/>
      </w:rPr>
    </w:lvl>
    <w:lvl w:ilvl="2" w:tplc="763AEAF6">
      <w:start w:val="1"/>
      <w:numFmt w:val="bullet"/>
      <w:lvlText w:val=""/>
      <w:lvlJc w:val="left"/>
      <w:pPr>
        <w:tabs>
          <w:tab w:val="num" w:pos="2160"/>
        </w:tabs>
        <w:ind w:left="2160" w:hanging="360"/>
      </w:pPr>
      <w:rPr>
        <w:rFonts w:ascii="Wingdings" w:hAnsi="Wingdings"/>
      </w:rPr>
    </w:lvl>
    <w:lvl w:ilvl="3" w:tplc="6686BA98">
      <w:start w:val="1"/>
      <w:numFmt w:val="bullet"/>
      <w:lvlText w:val=""/>
      <w:lvlJc w:val="left"/>
      <w:pPr>
        <w:tabs>
          <w:tab w:val="num" w:pos="2880"/>
        </w:tabs>
        <w:ind w:left="2880" w:hanging="360"/>
      </w:pPr>
      <w:rPr>
        <w:rFonts w:ascii="Symbol" w:hAnsi="Symbol"/>
      </w:rPr>
    </w:lvl>
    <w:lvl w:ilvl="4" w:tplc="FF6C722C">
      <w:start w:val="1"/>
      <w:numFmt w:val="bullet"/>
      <w:lvlText w:val="o"/>
      <w:lvlJc w:val="left"/>
      <w:pPr>
        <w:tabs>
          <w:tab w:val="num" w:pos="3600"/>
        </w:tabs>
        <w:ind w:left="3600" w:hanging="360"/>
      </w:pPr>
      <w:rPr>
        <w:rFonts w:ascii="Courier New" w:hAnsi="Courier New"/>
      </w:rPr>
    </w:lvl>
    <w:lvl w:ilvl="5" w:tplc="9BD48850">
      <w:start w:val="1"/>
      <w:numFmt w:val="bullet"/>
      <w:lvlText w:val=""/>
      <w:lvlJc w:val="left"/>
      <w:pPr>
        <w:tabs>
          <w:tab w:val="num" w:pos="4320"/>
        </w:tabs>
        <w:ind w:left="4320" w:hanging="360"/>
      </w:pPr>
      <w:rPr>
        <w:rFonts w:ascii="Wingdings" w:hAnsi="Wingdings"/>
      </w:rPr>
    </w:lvl>
    <w:lvl w:ilvl="6" w:tplc="08FCEABE">
      <w:start w:val="1"/>
      <w:numFmt w:val="bullet"/>
      <w:lvlText w:val=""/>
      <w:lvlJc w:val="left"/>
      <w:pPr>
        <w:tabs>
          <w:tab w:val="num" w:pos="5040"/>
        </w:tabs>
        <w:ind w:left="5040" w:hanging="360"/>
      </w:pPr>
      <w:rPr>
        <w:rFonts w:ascii="Symbol" w:hAnsi="Symbol"/>
      </w:rPr>
    </w:lvl>
    <w:lvl w:ilvl="7" w:tplc="3E70BE5A">
      <w:start w:val="1"/>
      <w:numFmt w:val="bullet"/>
      <w:lvlText w:val="o"/>
      <w:lvlJc w:val="left"/>
      <w:pPr>
        <w:tabs>
          <w:tab w:val="num" w:pos="5760"/>
        </w:tabs>
        <w:ind w:left="5760" w:hanging="360"/>
      </w:pPr>
      <w:rPr>
        <w:rFonts w:ascii="Courier New" w:hAnsi="Courier New"/>
      </w:rPr>
    </w:lvl>
    <w:lvl w:ilvl="8" w:tplc="06A8C8F6">
      <w:start w:val="1"/>
      <w:numFmt w:val="bullet"/>
      <w:lvlText w:val=""/>
      <w:lvlJc w:val="left"/>
      <w:pPr>
        <w:tabs>
          <w:tab w:val="num" w:pos="6480"/>
        </w:tabs>
        <w:ind w:left="6480" w:hanging="360"/>
      </w:pPr>
      <w:rPr>
        <w:rFonts w:ascii="Wingdings" w:hAnsi="Wingdings"/>
      </w:rPr>
    </w:lvl>
  </w:abstractNum>
  <w:abstractNum w:abstractNumId="87">
    <w:nsid w:val="72230519"/>
    <w:multiLevelType w:val="hybridMultilevel"/>
    <w:tmpl w:val="72230519"/>
    <w:lvl w:ilvl="0" w:tplc="3D44E920">
      <w:start w:val="1"/>
      <w:numFmt w:val="bullet"/>
      <w:lvlText w:val=""/>
      <w:lvlJc w:val="left"/>
      <w:pPr>
        <w:ind w:left="720" w:hanging="360"/>
      </w:pPr>
      <w:rPr>
        <w:rFonts w:ascii="Symbol" w:hAnsi="Symbol"/>
      </w:rPr>
    </w:lvl>
    <w:lvl w:ilvl="1" w:tplc="2E4473D2">
      <w:start w:val="1"/>
      <w:numFmt w:val="bullet"/>
      <w:lvlText w:val="o"/>
      <w:lvlJc w:val="left"/>
      <w:pPr>
        <w:tabs>
          <w:tab w:val="num" w:pos="1440"/>
        </w:tabs>
        <w:ind w:left="1440" w:hanging="360"/>
      </w:pPr>
      <w:rPr>
        <w:rFonts w:ascii="Courier New" w:hAnsi="Courier New"/>
      </w:rPr>
    </w:lvl>
    <w:lvl w:ilvl="2" w:tplc="DDF0F2F4">
      <w:start w:val="1"/>
      <w:numFmt w:val="bullet"/>
      <w:lvlText w:val=""/>
      <w:lvlJc w:val="left"/>
      <w:pPr>
        <w:tabs>
          <w:tab w:val="num" w:pos="2160"/>
        </w:tabs>
        <w:ind w:left="2160" w:hanging="360"/>
      </w:pPr>
      <w:rPr>
        <w:rFonts w:ascii="Wingdings" w:hAnsi="Wingdings"/>
      </w:rPr>
    </w:lvl>
    <w:lvl w:ilvl="3" w:tplc="306851AC">
      <w:start w:val="1"/>
      <w:numFmt w:val="bullet"/>
      <w:lvlText w:val=""/>
      <w:lvlJc w:val="left"/>
      <w:pPr>
        <w:tabs>
          <w:tab w:val="num" w:pos="2880"/>
        </w:tabs>
        <w:ind w:left="2880" w:hanging="360"/>
      </w:pPr>
      <w:rPr>
        <w:rFonts w:ascii="Symbol" w:hAnsi="Symbol"/>
      </w:rPr>
    </w:lvl>
    <w:lvl w:ilvl="4" w:tplc="8700AC84">
      <w:start w:val="1"/>
      <w:numFmt w:val="bullet"/>
      <w:lvlText w:val="o"/>
      <w:lvlJc w:val="left"/>
      <w:pPr>
        <w:tabs>
          <w:tab w:val="num" w:pos="3600"/>
        </w:tabs>
        <w:ind w:left="3600" w:hanging="360"/>
      </w:pPr>
      <w:rPr>
        <w:rFonts w:ascii="Courier New" w:hAnsi="Courier New"/>
      </w:rPr>
    </w:lvl>
    <w:lvl w:ilvl="5" w:tplc="AFB05E7C">
      <w:start w:val="1"/>
      <w:numFmt w:val="bullet"/>
      <w:lvlText w:val=""/>
      <w:lvlJc w:val="left"/>
      <w:pPr>
        <w:tabs>
          <w:tab w:val="num" w:pos="4320"/>
        </w:tabs>
        <w:ind w:left="4320" w:hanging="360"/>
      </w:pPr>
      <w:rPr>
        <w:rFonts w:ascii="Wingdings" w:hAnsi="Wingdings"/>
      </w:rPr>
    </w:lvl>
    <w:lvl w:ilvl="6" w:tplc="43D24FBC">
      <w:start w:val="1"/>
      <w:numFmt w:val="bullet"/>
      <w:lvlText w:val=""/>
      <w:lvlJc w:val="left"/>
      <w:pPr>
        <w:tabs>
          <w:tab w:val="num" w:pos="5040"/>
        </w:tabs>
        <w:ind w:left="5040" w:hanging="360"/>
      </w:pPr>
      <w:rPr>
        <w:rFonts w:ascii="Symbol" w:hAnsi="Symbol"/>
      </w:rPr>
    </w:lvl>
    <w:lvl w:ilvl="7" w:tplc="554CCF66">
      <w:start w:val="1"/>
      <w:numFmt w:val="bullet"/>
      <w:lvlText w:val="o"/>
      <w:lvlJc w:val="left"/>
      <w:pPr>
        <w:tabs>
          <w:tab w:val="num" w:pos="5760"/>
        </w:tabs>
        <w:ind w:left="5760" w:hanging="360"/>
      </w:pPr>
      <w:rPr>
        <w:rFonts w:ascii="Courier New" w:hAnsi="Courier New"/>
      </w:rPr>
    </w:lvl>
    <w:lvl w:ilvl="8" w:tplc="F880EEFE">
      <w:start w:val="1"/>
      <w:numFmt w:val="bullet"/>
      <w:lvlText w:val=""/>
      <w:lvlJc w:val="left"/>
      <w:pPr>
        <w:tabs>
          <w:tab w:val="num" w:pos="6480"/>
        </w:tabs>
        <w:ind w:left="6480" w:hanging="360"/>
      </w:pPr>
      <w:rPr>
        <w:rFonts w:ascii="Wingdings" w:hAnsi="Wingdings"/>
      </w:rPr>
    </w:lvl>
  </w:abstractNum>
  <w:abstractNum w:abstractNumId="88">
    <w:nsid w:val="7223051A"/>
    <w:multiLevelType w:val="hybridMultilevel"/>
    <w:tmpl w:val="7223051A"/>
    <w:lvl w:ilvl="0" w:tplc="4F447D4C">
      <w:start w:val="1"/>
      <w:numFmt w:val="bullet"/>
      <w:lvlText w:val=""/>
      <w:lvlJc w:val="left"/>
      <w:pPr>
        <w:ind w:left="720" w:hanging="360"/>
      </w:pPr>
      <w:rPr>
        <w:rFonts w:ascii="Symbol" w:hAnsi="Symbol"/>
      </w:rPr>
    </w:lvl>
    <w:lvl w:ilvl="1" w:tplc="4E2446C4">
      <w:start w:val="1"/>
      <w:numFmt w:val="bullet"/>
      <w:lvlText w:val="o"/>
      <w:lvlJc w:val="left"/>
      <w:pPr>
        <w:tabs>
          <w:tab w:val="num" w:pos="1440"/>
        </w:tabs>
        <w:ind w:left="1440" w:hanging="360"/>
      </w:pPr>
      <w:rPr>
        <w:rFonts w:ascii="Courier New" w:hAnsi="Courier New"/>
      </w:rPr>
    </w:lvl>
    <w:lvl w:ilvl="2" w:tplc="2FA08372">
      <w:start w:val="1"/>
      <w:numFmt w:val="bullet"/>
      <w:lvlText w:val=""/>
      <w:lvlJc w:val="left"/>
      <w:pPr>
        <w:tabs>
          <w:tab w:val="num" w:pos="2160"/>
        </w:tabs>
        <w:ind w:left="2160" w:hanging="360"/>
      </w:pPr>
      <w:rPr>
        <w:rFonts w:ascii="Wingdings" w:hAnsi="Wingdings"/>
      </w:rPr>
    </w:lvl>
    <w:lvl w:ilvl="3" w:tplc="19E270FE">
      <w:start w:val="1"/>
      <w:numFmt w:val="bullet"/>
      <w:lvlText w:val=""/>
      <w:lvlJc w:val="left"/>
      <w:pPr>
        <w:tabs>
          <w:tab w:val="num" w:pos="2880"/>
        </w:tabs>
        <w:ind w:left="2880" w:hanging="360"/>
      </w:pPr>
      <w:rPr>
        <w:rFonts w:ascii="Symbol" w:hAnsi="Symbol"/>
      </w:rPr>
    </w:lvl>
    <w:lvl w:ilvl="4" w:tplc="2F740412">
      <w:start w:val="1"/>
      <w:numFmt w:val="bullet"/>
      <w:lvlText w:val="o"/>
      <w:lvlJc w:val="left"/>
      <w:pPr>
        <w:tabs>
          <w:tab w:val="num" w:pos="3600"/>
        </w:tabs>
        <w:ind w:left="3600" w:hanging="360"/>
      </w:pPr>
      <w:rPr>
        <w:rFonts w:ascii="Courier New" w:hAnsi="Courier New"/>
      </w:rPr>
    </w:lvl>
    <w:lvl w:ilvl="5" w:tplc="65AE27C8">
      <w:start w:val="1"/>
      <w:numFmt w:val="bullet"/>
      <w:lvlText w:val=""/>
      <w:lvlJc w:val="left"/>
      <w:pPr>
        <w:tabs>
          <w:tab w:val="num" w:pos="4320"/>
        </w:tabs>
        <w:ind w:left="4320" w:hanging="360"/>
      </w:pPr>
      <w:rPr>
        <w:rFonts w:ascii="Wingdings" w:hAnsi="Wingdings"/>
      </w:rPr>
    </w:lvl>
    <w:lvl w:ilvl="6" w:tplc="A594B140">
      <w:start w:val="1"/>
      <w:numFmt w:val="bullet"/>
      <w:lvlText w:val=""/>
      <w:lvlJc w:val="left"/>
      <w:pPr>
        <w:tabs>
          <w:tab w:val="num" w:pos="5040"/>
        </w:tabs>
        <w:ind w:left="5040" w:hanging="360"/>
      </w:pPr>
      <w:rPr>
        <w:rFonts w:ascii="Symbol" w:hAnsi="Symbol"/>
      </w:rPr>
    </w:lvl>
    <w:lvl w:ilvl="7" w:tplc="8D6C11C4">
      <w:start w:val="1"/>
      <w:numFmt w:val="bullet"/>
      <w:lvlText w:val="o"/>
      <w:lvlJc w:val="left"/>
      <w:pPr>
        <w:tabs>
          <w:tab w:val="num" w:pos="5760"/>
        </w:tabs>
        <w:ind w:left="5760" w:hanging="360"/>
      </w:pPr>
      <w:rPr>
        <w:rFonts w:ascii="Courier New" w:hAnsi="Courier New"/>
      </w:rPr>
    </w:lvl>
    <w:lvl w:ilvl="8" w:tplc="DBB43822">
      <w:start w:val="1"/>
      <w:numFmt w:val="bullet"/>
      <w:lvlText w:val=""/>
      <w:lvlJc w:val="left"/>
      <w:pPr>
        <w:tabs>
          <w:tab w:val="num" w:pos="6480"/>
        </w:tabs>
        <w:ind w:left="6480" w:hanging="360"/>
      </w:pPr>
      <w:rPr>
        <w:rFonts w:ascii="Wingdings" w:hAnsi="Wingdings"/>
      </w:rPr>
    </w:lvl>
  </w:abstractNum>
  <w:abstractNum w:abstractNumId="89">
    <w:nsid w:val="7223051B"/>
    <w:multiLevelType w:val="hybridMultilevel"/>
    <w:tmpl w:val="7223051B"/>
    <w:lvl w:ilvl="0" w:tplc="DE32E070">
      <w:start w:val="1"/>
      <w:numFmt w:val="bullet"/>
      <w:lvlText w:val=""/>
      <w:lvlJc w:val="left"/>
      <w:pPr>
        <w:ind w:left="720" w:hanging="360"/>
      </w:pPr>
      <w:rPr>
        <w:rFonts w:ascii="Symbol" w:hAnsi="Symbol"/>
      </w:rPr>
    </w:lvl>
    <w:lvl w:ilvl="1" w:tplc="B7444B9C">
      <w:start w:val="1"/>
      <w:numFmt w:val="bullet"/>
      <w:lvlText w:val="o"/>
      <w:lvlJc w:val="left"/>
      <w:pPr>
        <w:tabs>
          <w:tab w:val="num" w:pos="1440"/>
        </w:tabs>
        <w:ind w:left="1440" w:hanging="360"/>
      </w:pPr>
      <w:rPr>
        <w:rFonts w:ascii="Courier New" w:hAnsi="Courier New"/>
      </w:rPr>
    </w:lvl>
    <w:lvl w:ilvl="2" w:tplc="15E8E948">
      <w:start w:val="1"/>
      <w:numFmt w:val="bullet"/>
      <w:lvlText w:val=""/>
      <w:lvlJc w:val="left"/>
      <w:pPr>
        <w:tabs>
          <w:tab w:val="num" w:pos="2160"/>
        </w:tabs>
        <w:ind w:left="2160" w:hanging="360"/>
      </w:pPr>
      <w:rPr>
        <w:rFonts w:ascii="Wingdings" w:hAnsi="Wingdings"/>
      </w:rPr>
    </w:lvl>
    <w:lvl w:ilvl="3" w:tplc="2E92E9E0">
      <w:start w:val="1"/>
      <w:numFmt w:val="bullet"/>
      <w:lvlText w:val=""/>
      <w:lvlJc w:val="left"/>
      <w:pPr>
        <w:tabs>
          <w:tab w:val="num" w:pos="2880"/>
        </w:tabs>
        <w:ind w:left="2880" w:hanging="360"/>
      </w:pPr>
      <w:rPr>
        <w:rFonts w:ascii="Symbol" w:hAnsi="Symbol"/>
      </w:rPr>
    </w:lvl>
    <w:lvl w:ilvl="4" w:tplc="CC3009B6">
      <w:start w:val="1"/>
      <w:numFmt w:val="bullet"/>
      <w:lvlText w:val="o"/>
      <w:lvlJc w:val="left"/>
      <w:pPr>
        <w:tabs>
          <w:tab w:val="num" w:pos="3600"/>
        </w:tabs>
        <w:ind w:left="3600" w:hanging="360"/>
      </w:pPr>
      <w:rPr>
        <w:rFonts w:ascii="Courier New" w:hAnsi="Courier New"/>
      </w:rPr>
    </w:lvl>
    <w:lvl w:ilvl="5" w:tplc="EB861688">
      <w:start w:val="1"/>
      <w:numFmt w:val="bullet"/>
      <w:lvlText w:val=""/>
      <w:lvlJc w:val="left"/>
      <w:pPr>
        <w:tabs>
          <w:tab w:val="num" w:pos="4320"/>
        </w:tabs>
        <w:ind w:left="4320" w:hanging="360"/>
      </w:pPr>
      <w:rPr>
        <w:rFonts w:ascii="Wingdings" w:hAnsi="Wingdings"/>
      </w:rPr>
    </w:lvl>
    <w:lvl w:ilvl="6" w:tplc="BDEA6ACC">
      <w:start w:val="1"/>
      <w:numFmt w:val="bullet"/>
      <w:lvlText w:val=""/>
      <w:lvlJc w:val="left"/>
      <w:pPr>
        <w:tabs>
          <w:tab w:val="num" w:pos="5040"/>
        </w:tabs>
        <w:ind w:left="5040" w:hanging="360"/>
      </w:pPr>
      <w:rPr>
        <w:rFonts w:ascii="Symbol" w:hAnsi="Symbol"/>
      </w:rPr>
    </w:lvl>
    <w:lvl w:ilvl="7" w:tplc="AA7E3CF2">
      <w:start w:val="1"/>
      <w:numFmt w:val="bullet"/>
      <w:lvlText w:val="o"/>
      <w:lvlJc w:val="left"/>
      <w:pPr>
        <w:tabs>
          <w:tab w:val="num" w:pos="5760"/>
        </w:tabs>
        <w:ind w:left="5760" w:hanging="360"/>
      </w:pPr>
      <w:rPr>
        <w:rFonts w:ascii="Courier New" w:hAnsi="Courier New"/>
      </w:rPr>
    </w:lvl>
    <w:lvl w:ilvl="8" w:tplc="A372BF14">
      <w:start w:val="1"/>
      <w:numFmt w:val="bullet"/>
      <w:lvlText w:val=""/>
      <w:lvlJc w:val="left"/>
      <w:pPr>
        <w:tabs>
          <w:tab w:val="num" w:pos="6480"/>
        </w:tabs>
        <w:ind w:left="6480" w:hanging="360"/>
      </w:pPr>
      <w:rPr>
        <w:rFonts w:ascii="Wingdings" w:hAnsi="Wingdings"/>
      </w:rPr>
    </w:lvl>
  </w:abstractNum>
  <w:abstractNum w:abstractNumId="90">
    <w:nsid w:val="7223051C"/>
    <w:multiLevelType w:val="hybridMultilevel"/>
    <w:tmpl w:val="7223051C"/>
    <w:lvl w:ilvl="0" w:tplc="6D861540">
      <w:start w:val="1"/>
      <w:numFmt w:val="bullet"/>
      <w:lvlText w:val=""/>
      <w:lvlJc w:val="left"/>
      <w:pPr>
        <w:ind w:left="720" w:hanging="360"/>
      </w:pPr>
      <w:rPr>
        <w:rFonts w:ascii="Symbol" w:hAnsi="Symbol"/>
      </w:rPr>
    </w:lvl>
    <w:lvl w:ilvl="1" w:tplc="8DE07590">
      <w:start w:val="1"/>
      <w:numFmt w:val="bullet"/>
      <w:lvlText w:val="o"/>
      <w:lvlJc w:val="left"/>
      <w:pPr>
        <w:tabs>
          <w:tab w:val="num" w:pos="1440"/>
        </w:tabs>
        <w:ind w:left="1440" w:hanging="360"/>
      </w:pPr>
      <w:rPr>
        <w:rFonts w:ascii="Courier New" w:hAnsi="Courier New"/>
      </w:rPr>
    </w:lvl>
    <w:lvl w:ilvl="2" w:tplc="B20ABAD2">
      <w:start w:val="1"/>
      <w:numFmt w:val="bullet"/>
      <w:lvlText w:val=""/>
      <w:lvlJc w:val="left"/>
      <w:pPr>
        <w:tabs>
          <w:tab w:val="num" w:pos="2160"/>
        </w:tabs>
        <w:ind w:left="2160" w:hanging="360"/>
      </w:pPr>
      <w:rPr>
        <w:rFonts w:ascii="Wingdings" w:hAnsi="Wingdings"/>
      </w:rPr>
    </w:lvl>
    <w:lvl w:ilvl="3" w:tplc="AAF86BE8">
      <w:start w:val="1"/>
      <w:numFmt w:val="bullet"/>
      <w:lvlText w:val=""/>
      <w:lvlJc w:val="left"/>
      <w:pPr>
        <w:tabs>
          <w:tab w:val="num" w:pos="2880"/>
        </w:tabs>
        <w:ind w:left="2880" w:hanging="360"/>
      </w:pPr>
      <w:rPr>
        <w:rFonts w:ascii="Symbol" w:hAnsi="Symbol"/>
      </w:rPr>
    </w:lvl>
    <w:lvl w:ilvl="4" w:tplc="33A485BC">
      <w:start w:val="1"/>
      <w:numFmt w:val="bullet"/>
      <w:lvlText w:val="o"/>
      <w:lvlJc w:val="left"/>
      <w:pPr>
        <w:tabs>
          <w:tab w:val="num" w:pos="3600"/>
        </w:tabs>
        <w:ind w:left="3600" w:hanging="360"/>
      </w:pPr>
      <w:rPr>
        <w:rFonts w:ascii="Courier New" w:hAnsi="Courier New"/>
      </w:rPr>
    </w:lvl>
    <w:lvl w:ilvl="5" w:tplc="FFC24E38">
      <w:start w:val="1"/>
      <w:numFmt w:val="bullet"/>
      <w:lvlText w:val=""/>
      <w:lvlJc w:val="left"/>
      <w:pPr>
        <w:tabs>
          <w:tab w:val="num" w:pos="4320"/>
        </w:tabs>
        <w:ind w:left="4320" w:hanging="360"/>
      </w:pPr>
      <w:rPr>
        <w:rFonts w:ascii="Wingdings" w:hAnsi="Wingdings"/>
      </w:rPr>
    </w:lvl>
    <w:lvl w:ilvl="6" w:tplc="518A6EE8">
      <w:start w:val="1"/>
      <w:numFmt w:val="bullet"/>
      <w:lvlText w:val=""/>
      <w:lvlJc w:val="left"/>
      <w:pPr>
        <w:tabs>
          <w:tab w:val="num" w:pos="5040"/>
        </w:tabs>
        <w:ind w:left="5040" w:hanging="360"/>
      </w:pPr>
      <w:rPr>
        <w:rFonts w:ascii="Symbol" w:hAnsi="Symbol"/>
      </w:rPr>
    </w:lvl>
    <w:lvl w:ilvl="7" w:tplc="2BE0B880">
      <w:start w:val="1"/>
      <w:numFmt w:val="bullet"/>
      <w:lvlText w:val="o"/>
      <w:lvlJc w:val="left"/>
      <w:pPr>
        <w:tabs>
          <w:tab w:val="num" w:pos="5760"/>
        </w:tabs>
        <w:ind w:left="5760" w:hanging="360"/>
      </w:pPr>
      <w:rPr>
        <w:rFonts w:ascii="Courier New" w:hAnsi="Courier New"/>
      </w:rPr>
    </w:lvl>
    <w:lvl w:ilvl="8" w:tplc="B48626DC">
      <w:start w:val="1"/>
      <w:numFmt w:val="bullet"/>
      <w:lvlText w:val=""/>
      <w:lvlJc w:val="left"/>
      <w:pPr>
        <w:tabs>
          <w:tab w:val="num" w:pos="6480"/>
        </w:tabs>
        <w:ind w:left="6480" w:hanging="360"/>
      </w:pPr>
      <w:rPr>
        <w:rFonts w:ascii="Wingdings" w:hAnsi="Wingdings"/>
      </w:rPr>
    </w:lvl>
  </w:abstractNum>
  <w:abstractNum w:abstractNumId="91">
    <w:nsid w:val="7223051D"/>
    <w:multiLevelType w:val="hybridMultilevel"/>
    <w:tmpl w:val="7223051D"/>
    <w:lvl w:ilvl="0" w:tplc="D8526F70">
      <w:start w:val="1"/>
      <w:numFmt w:val="bullet"/>
      <w:lvlText w:val=""/>
      <w:lvlJc w:val="left"/>
      <w:pPr>
        <w:ind w:left="720" w:hanging="360"/>
      </w:pPr>
      <w:rPr>
        <w:rFonts w:ascii="Symbol" w:hAnsi="Symbol"/>
      </w:rPr>
    </w:lvl>
    <w:lvl w:ilvl="1" w:tplc="96EEB25A">
      <w:start w:val="1"/>
      <w:numFmt w:val="bullet"/>
      <w:lvlText w:val="o"/>
      <w:lvlJc w:val="left"/>
      <w:pPr>
        <w:tabs>
          <w:tab w:val="num" w:pos="1440"/>
        </w:tabs>
        <w:ind w:left="1440" w:hanging="360"/>
      </w:pPr>
      <w:rPr>
        <w:rFonts w:ascii="Courier New" w:hAnsi="Courier New"/>
      </w:rPr>
    </w:lvl>
    <w:lvl w:ilvl="2" w:tplc="C9AEAD56">
      <w:start w:val="1"/>
      <w:numFmt w:val="bullet"/>
      <w:lvlText w:val=""/>
      <w:lvlJc w:val="left"/>
      <w:pPr>
        <w:tabs>
          <w:tab w:val="num" w:pos="2160"/>
        </w:tabs>
        <w:ind w:left="2160" w:hanging="360"/>
      </w:pPr>
      <w:rPr>
        <w:rFonts w:ascii="Wingdings" w:hAnsi="Wingdings"/>
      </w:rPr>
    </w:lvl>
    <w:lvl w:ilvl="3" w:tplc="2E10A752">
      <w:start w:val="1"/>
      <w:numFmt w:val="bullet"/>
      <w:lvlText w:val=""/>
      <w:lvlJc w:val="left"/>
      <w:pPr>
        <w:tabs>
          <w:tab w:val="num" w:pos="2880"/>
        </w:tabs>
        <w:ind w:left="2880" w:hanging="360"/>
      </w:pPr>
      <w:rPr>
        <w:rFonts w:ascii="Symbol" w:hAnsi="Symbol"/>
      </w:rPr>
    </w:lvl>
    <w:lvl w:ilvl="4" w:tplc="98D83A8C">
      <w:start w:val="1"/>
      <w:numFmt w:val="bullet"/>
      <w:lvlText w:val="o"/>
      <w:lvlJc w:val="left"/>
      <w:pPr>
        <w:tabs>
          <w:tab w:val="num" w:pos="3600"/>
        </w:tabs>
        <w:ind w:left="3600" w:hanging="360"/>
      </w:pPr>
      <w:rPr>
        <w:rFonts w:ascii="Courier New" w:hAnsi="Courier New"/>
      </w:rPr>
    </w:lvl>
    <w:lvl w:ilvl="5" w:tplc="67D82B74">
      <w:start w:val="1"/>
      <w:numFmt w:val="bullet"/>
      <w:lvlText w:val=""/>
      <w:lvlJc w:val="left"/>
      <w:pPr>
        <w:tabs>
          <w:tab w:val="num" w:pos="4320"/>
        </w:tabs>
        <w:ind w:left="4320" w:hanging="360"/>
      </w:pPr>
      <w:rPr>
        <w:rFonts w:ascii="Wingdings" w:hAnsi="Wingdings"/>
      </w:rPr>
    </w:lvl>
    <w:lvl w:ilvl="6" w:tplc="8040BB08">
      <w:start w:val="1"/>
      <w:numFmt w:val="bullet"/>
      <w:lvlText w:val=""/>
      <w:lvlJc w:val="left"/>
      <w:pPr>
        <w:tabs>
          <w:tab w:val="num" w:pos="5040"/>
        </w:tabs>
        <w:ind w:left="5040" w:hanging="360"/>
      </w:pPr>
      <w:rPr>
        <w:rFonts w:ascii="Symbol" w:hAnsi="Symbol"/>
      </w:rPr>
    </w:lvl>
    <w:lvl w:ilvl="7" w:tplc="B58A0F86">
      <w:start w:val="1"/>
      <w:numFmt w:val="bullet"/>
      <w:lvlText w:val="o"/>
      <w:lvlJc w:val="left"/>
      <w:pPr>
        <w:tabs>
          <w:tab w:val="num" w:pos="5760"/>
        </w:tabs>
        <w:ind w:left="5760" w:hanging="360"/>
      </w:pPr>
      <w:rPr>
        <w:rFonts w:ascii="Courier New" w:hAnsi="Courier New"/>
      </w:rPr>
    </w:lvl>
    <w:lvl w:ilvl="8" w:tplc="FF6EE294">
      <w:start w:val="1"/>
      <w:numFmt w:val="bullet"/>
      <w:lvlText w:val=""/>
      <w:lvlJc w:val="left"/>
      <w:pPr>
        <w:tabs>
          <w:tab w:val="num" w:pos="6480"/>
        </w:tabs>
        <w:ind w:left="6480" w:hanging="360"/>
      </w:pPr>
      <w:rPr>
        <w:rFonts w:ascii="Wingdings" w:hAnsi="Wingdings"/>
      </w:rPr>
    </w:lvl>
  </w:abstractNum>
  <w:abstractNum w:abstractNumId="92">
    <w:nsid w:val="7223051E"/>
    <w:multiLevelType w:val="hybridMultilevel"/>
    <w:tmpl w:val="7223051E"/>
    <w:lvl w:ilvl="0" w:tplc="923A5EAE">
      <w:start w:val="1"/>
      <w:numFmt w:val="bullet"/>
      <w:lvlText w:val=""/>
      <w:lvlJc w:val="left"/>
      <w:pPr>
        <w:ind w:left="720" w:hanging="360"/>
      </w:pPr>
      <w:rPr>
        <w:rFonts w:ascii="Symbol" w:hAnsi="Symbol"/>
      </w:rPr>
    </w:lvl>
    <w:lvl w:ilvl="1" w:tplc="CA84AF70">
      <w:start w:val="1"/>
      <w:numFmt w:val="bullet"/>
      <w:lvlText w:val="o"/>
      <w:lvlJc w:val="left"/>
      <w:pPr>
        <w:tabs>
          <w:tab w:val="num" w:pos="1440"/>
        </w:tabs>
        <w:ind w:left="1440" w:hanging="360"/>
      </w:pPr>
      <w:rPr>
        <w:rFonts w:ascii="Courier New" w:hAnsi="Courier New"/>
      </w:rPr>
    </w:lvl>
    <w:lvl w:ilvl="2" w:tplc="D9566E10">
      <w:start w:val="1"/>
      <w:numFmt w:val="bullet"/>
      <w:lvlText w:val=""/>
      <w:lvlJc w:val="left"/>
      <w:pPr>
        <w:tabs>
          <w:tab w:val="num" w:pos="2160"/>
        </w:tabs>
        <w:ind w:left="2160" w:hanging="360"/>
      </w:pPr>
      <w:rPr>
        <w:rFonts w:ascii="Wingdings" w:hAnsi="Wingdings"/>
      </w:rPr>
    </w:lvl>
    <w:lvl w:ilvl="3" w:tplc="EDF0A400">
      <w:start w:val="1"/>
      <w:numFmt w:val="bullet"/>
      <w:lvlText w:val=""/>
      <w:lvlJc w:val="left"/>
      <w:pPr>
        <w:tabs>
          <w:tab w:val="num" w:pos="2880"/>
        </w:tabs>
        <w:ind w:left="2880" w:hanging="360"/>
      </w:pPr>
      <w:rPr>
        <w:rFonts w:ascii="Symbol" w:hAnsi="Symbol"/>
      </w:rPr>
    </w:lvl>
    <w:lvl w:ilvl="4" w:tplc="04185F2A">
      <w:start w:val="1"/>
      <w:numFmt w:val="bullet"/>
      <w:lvlText w:val="o"/>
      <w:lvlJc w:val="left"/>
      <w:pPr>
        <w:tabs>
          <w:tab w:val="num" w:pos="3600"/>
        </w:tabs>
        <w:ind w:left="3600" w:hanging="360"/>
      </w:pPr>
      <w:rPr>
        <w:rFonts w:ascii="Courier New" w:hAnsi="Courier New"/>
      </w:rPr>
    </w:lvl>
    <w:lvl w:ilvl="5" w:tplc="23F62014">
      <w:start w:val="1"/>
      <w:numFmt w:val="bullet"/>
      <w:lvlText w:val=""/>
      <w:lvlJc w:val="left"/>
      <w:pPr>
        <w:tabs>
          <w:tab w:val="num" w:pos="4320"/>
        </w:tabs>
        <w:ind w:left="4320" w:hanging="360"/>
      </w:pPr>
      <w:rPr>
        <w:rFonts w:ascii="Wingdings" w:hAnsi="Wingdings"/>
      </w:rPr>
    </w:lvl>
    <w:lvl w:ilvl="6" w:tplc="F232EB90">
      <w:start w:val="1"/>
      <w:numFmt w:val="bullet"/>
      <w:lvlText w:val=""/>
      <w:lvlJc w:val="left"/>
      <w:pPr>
        <w:tabs>
          <w:tab w:val="num" w:pos="5040"/>
        </w:tabs>
        <w:ind w:left="5040" w:hanging="360"/>
      </w:pPr>
      <w:rPr>
        <w:rFonts w:ascii="Symbol" w:hAnsi="Symbol"/>
      </w:rPr>
    </w:lvl>
    <w:lvl w:ilvl="7" w:tplc="7BFAA942">
      <w:start w:val="1"/>
      <w:numFmt w:val="bullet"/>
      <w:lvlText w:val="o"/>
      <w:lvlJc w:val="left"/>
      <w:pPr>
        <w:tabs>
          <w:tab w:val="num" w:pos="5760"/>
        </w:tabs>
        <w:ind w:left="5760" w:hanging="360"/>
      </w:pPr>
      <w:rPr>
        <w:rFonts w:ascii="Courier New" w:hAnsi="Courier New"/>
      </w:rPr>
    </w:lvl>
    <w:lvl w:ilvl="8" w:tplc="E32EDD3E">
      <w:start w:val="1"/>
      <w:numFmt w:val="bullet"/>
      <w:lvlText w:val=""/>
      <w:lvlJc w:val="left"/>
      <w:pPr>
        <w:tabs>
          <w:tab w:val="num" w:pos="6480"/>
        </w:tabs>
        <w:ind w:left="6480" w:hanging="360"/>
      </w:pPr>
      <w:rPr>
        <w:rFonts w:ascii="Wingdings" w:hAnsi="Wingdings"/>
      </w:rPr>
    </w:lvl>
  </w:abstractNum>
  <w:abstractNum w:abstractNumId="93">
    <w:nsid w:val="7223051F"/>
    <w:multiLevelType w:val="hybridMultilevel"/>
    <w:tmpl w:val="7223051F"/>
    <w:lvl w:ilvl="0" w:tplc="4278422C">
      <w:start w:val="1"/>
      <w:numFmt w:val="bullet"/>
      <w:lvlText w:val=""/>
      <w:lvlJc w:val="left"/>
      <w:pPr>
        <w:ind w:left="720" w:hanging="360"/>
      </w:pPr>
      <w:rPr>
        <w:rFonts w:ascii="Symbol" w:hAnsi="Symbol"/>
      </w:rPr>
    </w:lvl>
    <w:lvl w:ilvl="1" w:tplc="15469C7A">
      <w:start w:val="1"/>
      <w:numFmt w:val="bullet"/>
      <w:lvlText w:val="o"/>
      <w:lvlJc w:val="left"/>
      <w:pPr>
        <w:tabs>
          <w:tab w:val="num" w:pos="1440"/>
        </w:tabs>
        <w:ind w:left="1440" w:hanging="360"/>
      </w:pPr>
      <w:rPr>
        <w:rFonts w:ascii="Courier New" w:hAnsi="Courier New"/>
      </w:rPr>
    </w:lvl>
    <w:lvl w:ilvl="2" w:tplc="A03A4262">
      <w:start w:val="1"/>
      <w:numFmt w:val="bullet"/>
      <w:lvlText w:val=""/>
      <w:lvlJc w:val="left"/>
      <w:pPr>
        <w:tabs>
          <w:tab w:val="num" w:pos="2160"/>
        </w:tabs>
        <w:ind w:left="2160" w:hanging="360"/>
      </w:pPr>
      <w:rPr>
        <w:rFonts w:ascii="Wingdings" w:hAnsi="Wingdings"/>
      </w:rPr>
    </w:lvl>
    <w:lvl w:ilvl="3" w:tplc="35D0D13E">
      <w:start w:val="1"/>
      <w:numFmt w:val="bullet"/>
      <w:lvlText w:val=""/>
      <w:lvlJc w:val="left"/>
      <w:pPr>
        <w:tabs>
          <w:tab w:val="num" w:pos="2880"/>
        </w:tabs>
        <w:ind w:left="2880" w:hanging="360"/>
      </w:pPr>
      <w:rPr>
        <w:rFonts w:ascii="Symbol" w:hAnsi="Symbol"/>
      </w:rPr>
    </w:lvl>
    <w:lvl w:ilvl="4" w:tplc="E2324980">
      <w:start w:val="1"/>
      <w:numFmt w:val="bullet"/>
      <w:lvlText w:val="o"/>
      <w:lvlJc w:val="left"/>
      <w:pPr>
        <w:tabs>
          <w:tab w:val="num" w:pos="3600"/>
        </w:tabs>
        <w:ind w:left="3600" w:hanging="360"/>
      </w:pPr>
      <w:rPr>
        <w:rFonts w:ascii="Courier New" w:hAnsi="Courier New"/>
      </w:rPr>
    </w:lvl>
    <w:lvl w:ilvl="5" w:tplc="2DD6EBDE">
      <w:start w:val="1"/>
      <w:numFmt w:val="bullet"/>
      <w:lvlText w:val=""/>
      <w:lvlJc w:val="left"/>
      <w:pPr>
        <w:tabs>
          <w:tab w:val="num" w:pos="4320"/>
        </w:tabs>
        <w:ind w:left="4320" w:hanging="360"/>
      </w:pPr>
      <w:rPr>
        <w:rFonts w:ascii="Wingdings" w:hAnsi="Wingdings"/>
      </w:rPr>
    </w:lvl>
    <w:lvl w:ilvl="6" w:tplc="3FF03346">
      <w:start w:val="1"/>
      <w:numFmt w:val="bullet"/>
      <w:lvlText w:val=""/>
      <w:lvlJc w:val="left"/>
      <w:pPr>
        <w:tabs>
          <w:tab w:val="num" w:pos="5040"/>
        </w:tabs>
        <w:ind w:left="5040" w:hanging="360"/>
      </w:pPr>
      <w:rPr>
        <w:rFonts w:ascii="Symbol" w:hAnsi="Symbol"/>
      </w:rPr>
    </w:lvl>
    <w:lvl w:ilvl="7" w:tplc="7878005A">
      <w:start w:val="1"/>
      <w:numFmt w:val="bullet"/>
      <w:lvlText w:val="o"/>
      <w:lvlJc w:val="left"/>
      <w:pPr>
        <w:tabs>
          <w:tab w:val="num" w:pos="5760"/>
        </w:tabs>
        <w:ind w:left="5760" w:hanging="360"/>
      </w:pPr>
      <w:rPr>
        <w:rFonts w:ascii="Courier New" w:hAnsi="Courier New"/>
      </w:rPr>
    </w:lvl>
    <w:lvl w:ilvl="8" w:tplc="F1805C28">
      <w:start w:val="1"/>
      <w:numFmt w:val="bullet"/>
      <w:lvlText w:val=""/>
      <w:lvlJc w:val="left"/>
      <w:pPr>
        <w:tabs>
          <w:tab w:val="num" w:pos="6480"/>
        </w:tabs>
        <w:ind w:left="6480" w:hanging="360"/>
      </w:pPr>
      <w:rPr>
        <w:rFonts w:ascii="Wingdings" w:hAnsi="Wingdings"/>
      </w:rPr>
    </w:lvl>
  </w:abstractNum>
  <w:abstractNum w:abstractNumId="94">
    <w:nsid w:val="72230520"/>
    <w:multiLevelType w:val="hybridMultilevel"/>
    <w:tmpl w:val="72230520"/>
    <w:lvl w:ilvl="0" w:tplc="00C02B98">
      <w:start w:val="1"/>
      <w:numFmt w:val="bullet"/>
      <w:lvlText w:val=""/>
      <w:lvlJc w:val="left"/>
      <w:pPr>
        <w:ind w:left="720" w:hanging="360"/>
      </w:pPr>
      <w:rPr>
        <w:rFonts w:ascii="Symbol" w:hAnsi="Symbol"/>
      </w:rPr>
    </w:lvl>
    <w:lvl w:ilvl="1" w:tplc="C6DEB36A">
      <w:start w:val="1"/>
      <w:numFmt w:val="bullet"/>
      <w:lvlText w:val="o"/>
      <w:lvlJc w:val="left"/>
      <w:pPr>
        <w:tabs>
          <w:tab w:val="num" w:pos="1440"/>
        </w:tabs>
        <w:ind w:left="1440" w:hanging="360"/>
      </w:pPr>
      <w:rPr>
        <w:rFonts w:ascii="Courier New" w:hAnsi="Courier New"/>
      </w:rPr>
    </w:lvl>
    <w:lvl w:ilvl="2" w:tplc="7D1C2404">
      <w:start w:val="1"/>
      <w:numFmt w:val="bullet"/>
      <w:lvlText w:val=""/>
      <w:lvlJc w:val="left"/>
      <w:pPr>
        <w:tabs>
          <w:tab w:val="num" w:pos="2160"/>
        </w:tabs>
        <w:ind w:left="2160" w:hanging="360"/>
      </w:pPr>
      <w:rPr>
        <w:rFonts w:ascii="Wingdings" w:hAnsi="Wingdings"/>
      </w:rPr>
    </w:lvl>
    <w:lvl w:ilvl="3" w:tplc="168AF188">
      <w:start w:val="1"/>
      <w:numFmt w:val="bullet"/>
      <w:lvlText w:val=""/>
      <w:lvlJc w:val="left"/>
      <w:pPr>
        <w:tabs>
          <w:tab w:val="num" w:pos="2880"/>
        </w:tabs>
        <w:ind w:left="2880" w:hanging="360"/>
      </w:pPr>
      <w:rPr>
        <w:rFonts w:ascii="Symbol" w:hAnsi="Symbol"/>
      </w:rPr>
    </w:lvl>
    <w:lvl w:ilvl="4" w:tplc="AE744224">
      <w:start w:val="1"/>
      <w:numFmt w:val="bullet"/>
      <w:lvlText w:val="o"/>
      <w:lvlJc w:val="left"/>
      <w:pPr>
        <w:tabs>
          <w:tab w:val="num" w:pos="3600"/>
        </w:tabs>
        <w:ind w:left="3600" w:hanging="360"/>
      </w:pPr>
      <w:rPr>
        <w:rFonts w:ascii="Courier New" w:hAnsi="Courier New"/>
      </w:rPr>
    </w:lvl>
    <w:lvl w:ilvl="5" w:tplc="F3AEF79A">
      <w:start w:val="1"/>
      <w:numFmt w:val="bullet"/>
      <w:lvlText w:val=""/>
      <w:lvlJc w:val="left"/>
      <w:pPr>
        <w:tabs>
          <w:tab w:val="num" w:pos="4320"/>
        </w:tabs>
        <w:ind w:left="4320" w:hanging="360"/>
      </w:pPr>
      <w:rPr>
        <w:rFonts w:ascii="Wingdings" w:hAnsi="Wingdings"/>
      </w:rPr>
    </w:lvl>
    <w:lvl w:ilvl="6" w:tplc="66DA2B0C">
      <w:start w:val="1"/>
      <w:numFmt w:val="bullet"/>
      <w:lvlText w:val=""/>
      <w:lvlJc w:val="left"/>
      <w:pPr>
        <w:tabs>
          <w:tab w:val="num" w:pos="5040"/>
        </w:tabs>
        <w:ind w:left="5040" w:hanging="360"/>
      </w:pPr>
      <w:rPr>
        <w:rFonts w:ascii="Symbol" w:hAnsi="Symbol"/>
      </w:rPr>
    </w:lvl>
    <w:lvl w:ilvl="7" w:tplc="DD92DAC2">
      <w:start w:val="1"/>
      <w:numFmt w:val="bullet"/>
      <w:lvlText w:val="o"/>
      <w:lvlJc w:val="left"/>
      <w:pPr>
        <w:tabs>
          <w:tab w:val="num" w:pos="5760"/>
        </w:tabs>
        <w:ind w:left="5760" w:hanging="360"/>
      </w:pPr>
      <w:rPr>
        <w:rFonts w:ascii="Courier New" w:hAnsi="Courier New"/>
      </w:rPr>
    </w:lvl>
    <w:lvl w:ilvl="8" w:tplc="E7A0747C">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19"/>
  </w:num>
  <w:num w:numId="7">
    <w:abstractNumId w:val="20"/>
  </w:num>
  <w:num w:numId="8">
    <w:abstractNumId w:val="7"/>
  </w:num>
  <w:num w:numId="9">
    <w:abstractNumId w:val="18"/>
  </w:num>
  <w:num w:numId="10">
    <w:abstractNumId w:val="17"/>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1"/>
  </w:num>
  <w:num w:numId="18">
    <w:abstractNumId w:val="16"/>
  </w:num>
  <w:num w:numId="19">
    <w:abstractNumId w:val="14"/>
  </w:num>
  <w:num w:numId="20">
    <w:abstractNumId w:val="22"/>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LW_DocType" w:val="REP"/>
  </w:docVars>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19C8"/>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612B"/>
    <w:rsid w:val="000B40D7"/>
    <w:rsid w:val="000B66B5"/>
    <w:rsid w:val="000B76DA"/>
    <w:rsid w:val="000C0F34"/>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1B5F"/>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3815"/>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4C66"/>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089B"/>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1191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166B9"/>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287"/>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CDC"/>
    <w:rsid w:val="00955D0B"/>
    <w:rsid w:val="00956014"/>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452B"/>
    <w:rsid w:val="00997D6B"/>
    <w:rsid w:val="009A45B6"/>
    <w:rsid w:val="009B31D3"/>
    <w:rsid w:val="009B3977"/>
    <w:rsid w:val="009C0DDE"/>
    <w:rsid w:val="009C1E4E"/>
    <w:rsid w:val="009C66D9"/>
    <w:rsid w:val="009C7B69"/>
    <w:rsid w:val="009D5849"/>
    <w:rsid w:val="009D6F5E"/>
    <w:rsid w:val="009E3C76"/>
    <w:rsid w:val="009E5C79"/>
    <w:rsid w:val="009E7D93"/>
    <w:rsid w:val="009E7DF6"/>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B4DE0"/>
    <w:rsid w:val="00AB51B2"/>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7787F"/>
    <w:rsid w:val="00C80F15"/>
    <w:rsid w:val="00C81F1C"/>
    <w:rsid w:val="00C839F9"/>
    <w:rsid w:val="00C8410C"/>
    <w:rsid w:val="00C850EC"/>
    <w:rsid w:val="00C93C45"/>
    <w:rsid w:val="00C94214"/>
    <w:rsid w:val="00C97CD8"/>
    <w:rsid w:val="00C97FEA"/>
    <w:rsid w:val="00CA254E"/>
    <w:rsid w:val="00CA3805"/>
    <w:rsid w:val="00CB4E82"/>
    <w:rsid w:val="00CB70B2"/>
    <w:rsid w:val="00CC4CA1"/>
    <w:rsid w:val="00CD41E8"/>
    <w:rsid w:val="00CD4FC0"/>
    <w:rsid w:val="00CE1876"/>
    <w:rsid w:val="00CE1AA3"/>
    <w:rsid w:val="00CE44E0"/>
    <w:rsid w:val="00CE634B"/>
    <w:rsid w:val="00CE6C7E"/>
    <w:rsid w:val="00CE765E"/>
    <w:rsid w:val="00CF2B79"/>
    <w:rsid w:val="00D016B2"/>
    <w:rsid w:val="00D01FDC"/>
    <w:rsid w:val="00D0301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22C8"/>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2CB"/>
    <w:rsid w:val="00E27E99"/>
    <w:rsid w:val="00E350C5"/>
    <w:rsid w:val="00E36839"/>
    <w:rsid w:val="00E36CFE"/>
    <w:rsid w:val="00E376EB"/>
    <w:rsid w:val="00E416F7"/>
    <w:rsid w:val="00E43039"/>
    <w:rsid w:val="00E433A3"/>
    <w:rsid w:val="00E44E08"/>
    <w:rsid w:val="00E539EA"/>
    <w:rsid w:val="00E56C80"/>
    <w:rsid w:val="00E74C34"/>
    <w:rsid w:val="00E75314"/>
    <w:rsid w:val="00E75E68"/>
    <w:rsid w:val="00E80DA9"/>
    <w:rsid w:val="00E837D9"/>
    <w:rsid w:val="00E840BF"/>
    <w:rsid w:val="00E908F6"/>
    <w:rsid w:val="00E9195D"/>
    <w:rsid w:val="00E92EA6"/>
    <w:rsid w:val="00E96710"/>
    <w:rsid w:val="00E97D08"/>
    <w:rsid w:val="00E97EDE"/>
    <w:rsid w:val="00EA1D65"/>
    <w:rsid w:val="00EA4436"/>
    <w:rsid w:val="00EB1612"/>
    <w:rsid w:val="00EB1A85"/>
    <w:rsid w:val="00EB41E9"/>
    <w:rsid w:val="00EC30C6"/>
    <w:rsid w:val="00EC46D1"/>
    <w:rsid w:val="00ED0DE3"/>
    <w:rsid w:val="00ED13A4"/>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0AEC"/>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152"/>
    <w:rsid w:val="00FE23A0"/>
    <w:rsid w:val="00FE3D9F"/>
    <w:rsid w:val="00FE549C"/>
    <w:rsid w:val="00FE668E"/>
    <w:rsid w:val="00FE7349"/>
    <w:rsid w:val="00FF0F7B"/>
    <w:rsid w:val="00FF7BFC"/>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rPr>
  </w:style>
  <w:style w:type="paragraph" w:styleId="Heading1">
    <w:name w:val="heading 1"/>
    <w:basedOn w:val="Normal"/>
    <w:next w:val="Normal"/>
    <w:qFormat/>
    <w:rsid w:val="00162E7B"/>
    <w:pPr>
      <w:keepNext/>
      <w:numPr>
        <w:numId w:val="19"/>
      </w:numPr>
      <w:spacing w:before="240" w:after="240"/>
      <w:outlineLvl w:val="0"/>
    </w:pPr>
    <w:rPr>
      <w:b/>
      <w:smallCaps/>
      <w:sz w:val="28"/>
      <w:lang w:val="fr-BE"/>
    </w:rPr>
  </w:style>
  <w:style w:type="paragraph" w:styleId="Heading2">
    <w:name w:val="heading 2"/>
    <w:basedOn w:val="Heading1"/>
    <w:next w:val="Normal"/>
    <w:link w:val="Heading2Char"/>
    <w:autoRedefine/>
    <w:qFormat/>
    <w:rsid w:val="00E272CB"/>
    <w:pPr>
      <w:numPr>
        <w:ilvl w:val="1"/>
      </w:numPr>
      <w:ind w:left="0"/>
      <w:outlineLvl w:val="1"/>
    </w:pPr>
    <w:rPr>
      <w:smallCaps w:val="0"/>
      <w:sz w:val="24"/>
    </w:rPr>
  </w:style>
  <w:style w:type="paragraph" w:styleId="Heading3">
    <w:name w:val="heading 3"/>
    <w:basedOn w:val="Heading2"/>
    <w:next w:val="Normal"/>
    <w:link w:val="Heading3Char"/>
    <w:autoRedefine/>
    <w:qFormat/>
    <w:rsid w:val="00F235A7"/>
    <w:pPr>
      <w:numPr>
        <w:ilvl w:val="2"/>
      </w:numPr>
      <w:outlineLvl w:val="2"/>
    </w:pPr>
    <w:rPr>
      <w:b w:val="0"/>
      <w:color w:val="000000"/>
    </w:rPr>
  </w:style>
  <w:style w:type="paragraph" w:styleId="Heading4">
    <w:name w:val="heading 4"/>
    <w:basedOn w:val="Heading3"/>
    <w:next w:val="Normal"/>
    <w:link w:val="Heading4Char"/>
    <w:qFormat/>
    <w:rsid w:val="00554619"/>
    <w:pPr>
      <w:numPr>
        <w:ilvl w:val="3"/>
      </w:numPr>
      <w:outlineLvl w:val="3"/>
    </w:pPr>
    <w:rPr>
      <w:i/>
    </w:rPr>
  </w:style>
  <w:style w:type="paragraph" w:styleId="Heading5">
    <w:name w:val="heading 5"/>
    <w:basedOn w:val="Heading4"/>
    <w:next w:val="Normal"/>
    <w:qFormat/>
    <w:rsid w:val="001D534D"/>
    <w:pPr>
      <w:numPr>
        <w:ilvl w:val="4"/>
      </w:numPr>
      <w:jc w:val="left"/>
      <w:outlineLvl w:val="4"/>
    </w:pPr>
    <w:rPr>
      <w:rFonts w:ascii="Arial" w:hAnsi="Arial"/>
      <w:b/>
      <w:i w:val="0"/>
      <w:noProof/>
      <w:sz w:val="22"/>
    </w:rPr>
  </w:style>
  <w:style w:type="paragraph" w:styleId="Heading6">
    <w:name w:val="heading 6"/>
    <w:basedOn w:val="Heading5"/>
    <w:next w:val="Normal"/>
    <w:qFormat/>
    <w:rsid w:val="00F235A7"/>
    <w:pPr>
      <w:numPr>
        <w:ilvl w:val="5"/>
      </w:numPr>
      <w:spacing w:after="60"/>
      <w:outlineLvl w:val="5"/>
    </w:pPr>
    <w:rPr>
      <w:b w:val="0"/>
    </w:rPr>
  </w:style>
  <w:style w:type="paragraph" w:styleId="Heading7">
    <w:name w:val="heading 7"/>
    <w:basedOn w:val="Heading6"/>
    <w:next w:val="Normal"/>
    <w:qFormat/>
    <w:rsid w:val="00F235A7"/>
    <w:pPr>
      <w:numPr>
        <w:ilvl w:val="6"/>
      </w:numPr>
      <w:outlineLvl w:val="6"/>
    </w:pPr>
    <w:rPr>
      <w:i/>
    </w:rPr>
  </w:style>
  <w:style w:type="paragraph" w:styleId="Heading8">
    <w:name w:val="heading 8"/>
    <w:basedOn w:val="Heading7"/>
    <w:next w:val="Normal"/>
    <w:qFormat/>
    <w:rsid w:val="001D534D"/>
    <w:pPr>
      <w:numPr>
        <w:ilvl w:val="7"/>
      </w:numPr>
      <w:outlineLvl w:val="7"/>
    </w:pPr>
    <w:rPr>
      <w:rFonts w:ascii="Calibri" w:hAnsi="Calibri"/>
      <w:b/>
      <w:i w:val="0"/>
      <w:sz w:val="24"/>
    </w:rPr>
  </w:style>
  <w:style w:type="paragraph" w:styleId="Heading9">
    <w:name w:val="heading 9"/>
    <w:basedOn w:val="Heading8"/>
    <w:next w:val="Normal"/>
    <w:qFormat/>
    <w:rsid w:val="00F235A7"/>
    <w:pPr>
      <w:numPr>
        <w:ilvl w:val="8"/>
      </w:numPr>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ind w:left="1440" w:right="1440"/>
    </w:pPr>
  </w:style>
  <w:style w:type="paragraph" w:styleId="BodyText">
    <w:name w:val="Body Text"/>
    <w:basedOn w:val="Normal"/>
  </w:style>
  <w:style w:type="paragraph" w:styleId="BodyText2">
    <w:name w:val="Body Text 2"/>
    <w:basedOn w:val="Normal"/>
    <w:pPr>
      <w:spacing w:line="480" w:lineRule="auto"/>
    </w:pPr>
  </w:style>
  <w:style w:type="paragraph" w:styleId="BodyText3">
    <w:name w:val="Body Text 3"/>
    <w:basedOn w:val="Normal"/>
    <w:rPr>
      <w:sz w:val="16"/>
    </w:rPr>
  </w:style>
  <w:style w:type="paragraph" w:styleId="BodyTextFirstIndent">
    <w:name w:val="Body Text First Indent"/>
    <w:basedOn w:val="BodyText"/>
    <w:pPr>
      <w:ind w:firstLine="210"/>
    </w:pPr>
  </w:style>
  <w:style w:type="paragraph" w:styleId="BodyTextIndent">
    <w:name w:val="Body Text Indent"/>
    <w:basedOn w:val="Normal"/>
    <w:pPr>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line="480" w:lineRule="auto"/>
      <w:ind w:left="283"/>
    </w:pPr>
  </w:style>
  <w:style w:type="paragraph" w:styleId="BodyTextIndent3">
    <w:name w:val="Body Text Indent 3"/>
    <w:basedOn w:val="Normal"/>
    <w:pPr>
      <w:ind w:left="283"/>
    </w:pPr>
    <w:rPr>
      <w:sz w:val="16"/>
    </w:rPr>
  </w:style>
  <w:style w:type="paragraph" w:styleId="Caption">
    <w:name w:val="caption"/>
    <w:basedOn w:val="Normal"/>
    <w:next w:val="Normal"/>
    <w:qFormat/>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numId w:val="3"/>
      </w:numPr>
    </w:pPr>
  </w:style>
  <w:style w:type="paragraph" w:styleId="ListBullet2">
    <w:name w:val="List Bullet 2"/>
    <w:basedOn w:val="Text2"/>
    <w:pPr>
      <w:numPr>
        <w:numId w:val="5"/>
      </w:numPr>
      <w:tabs>
        <w:tab w:val="clear" w:pos="2302"/>
      </w:tabs>
    </w:pPr>
  </w:style>
  <w:style w:type="paragraph" w:styleId="ListBullet3">
    <w:name w:val="List Bullet 3"/>
    <w:basedOn w:val="Text3"/>
    <w:pPr>
      <w:numPr>
        <w:numId w:val="6"/>
      </w:numPr>
      <w:tabs>
        <w:tab w:val="clear" w:pos="2302"/>
      </w:tabs>
    </w:pPr>
  </w:style>
  <w:style w:type="paragraph" w:styleId="ListBullet4">
    <w:name w:val="List Bullet 4"/>
    <w:basedOn w:val="Text4"/>
    <w:pPr>
      <w:numPr>
        <w:numId w:val="7"/>
      </w:numPr>
      <w:tabs>
        <w:tab w:val="clear" w:pos="2302"/>
      </w:tabs>
    </w:pPr>
  </w:style>
  <w:style w:type="paragraph" w:styleId="ListBullet5">
    <w:name w:val="List Bullet 5"/>
    <w:basedOn w:val="Normal"/>
    <w:autoRedefine/>
    <w:pPr>
      <w:numPr>
        <w:numId w:val="1"/>
      </w:numPr>
    </w:pPr>
  </w:style>
  <w:style w:type="paragraph" w:styleId="ListContinue">
    <w:name w:val="List Continue"/>
    <w:basedOn w:val="Normal"/>
    <w:pPr>
      <w:ind w:left="283"/>
    </w:pPr>
  </w:style>
  <w:style w:type="paragraph" w:styleId="ListContinue2">
    <w:name w:val="List Continue 2"/>
    <w:basedOn w:val="Normal"/>
    <w:pPr>
      <w:ind w:left="566"/>
    </w:pPr>
  </w:style>
  <w:style w:type="paragraph" w:styleId="ListContinue3">
    <w:name w:val="List Continue 3"/>
    <w:basedOn w:val="Normal"/>
    <w:pPr>
      <w:ind w:left="849"/>
    </w:pPr>
  </w:style>
  <w:style w:type="paragraph" w:styleId="ListContinue4">
    <w:name w:val="List Continue 4"/>
    <w:basedOn w:val="Normal"/>
    <w:pPr>
      <w:ind w:left="1132"/>
    </w:pPr>
  </w:style>
  <w:style w:type="paragraph" w:styleId="ListContinue5">
    <w:name w:val="List Continue 5"/>
    <w:basedOn w:val="Normal"/>
    <w:pPr>
      <w:ind w:left="1415"/>
    </w:pPr>
  </w:style>
  <w:style w:type="paragraph" w:styleId="ListNumber">
    <w:name w:val="List Number"/>
    <w:basedOn w:val="Normal"/>
    <w:pPr>
      <w:numPr>
        <w:numId w:val="13"/>
      </w:numPr>
    </w:pPr>
  </w:style>
  <w:style w:type="paragraph" w:styleId="ListNumber2">
    <w:name w:val="List Number 2"/>
    <w:basedOn w:val="Text2"/>
    <w:pPr>
      <w:numPr>
        <w:numId w:val="15"/>
      </w:numPr>
      <w:tabs>
        <w:tab w:val="clear" w:pos="2302"/>
      </w:tabs>
    </w:pPr>
  </w:style>
  <w:style w:type="paragraph" w:styleId="ListNumber3">
    <w:name w:val="List Number 3"/>
    <w:basedOn w:val="Text3"/>
    <w:pPr>
      <w:numPr>
        <w:numId w:val="16"/>
      </w:numPr>
      <w:tabs>
        <w:tab w:val="clear" w:pos="2302"/>
      </w:tabs>
    </w:pPr>
  </w:style>
  <w:style w:type="paragraph" w:styleId="ListNumber4">
    <w:name w:val="List Number 4"/>
    <w:basedOn w:val="Text4"/>
    <w:pPr>
      <w:numPr>
        <w:numId w:val="17"/>
      </w:numPr>
      <w:tabs>
        <w:tab w:val="clear" w:pos="2302"/>
      </w:tabs>
    </w:p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al"/>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E272CB"/>
    <w:rPr>
      <w:b/>
      <w:sz w:val="24"/>
      <w:lang w:val="fr-BE"/>
    </w:rPr>
  </w:style>
  <w:style w:type="character" w:customStyle="1" w:styleId="Heading3Char">
    <w:name w:val="Heading 3 Char"/>
    <w:link w:val="Heading3"/>
    <w:rsid w:val="00F235A7"/>
    <w:rPr>
      <w:color w:val="000000"/>
      <w:sz w:val="24"/>
      <w:lang w:val="fr-BE"/>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fontTable" Target="fontTable.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74A0DD-A507-43CE-90D7-414C02E48F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Template>
  <TotalTime>0</TotalTime>
  <Pages>9</Pages>
  <Words>48227</Words>
  <Characters>274897</Characters>
  <Application>Microsoft Office Word</Application>
  <DocSecurity>0</DocSecurity>
  <Lines>2290</Lines>
  <Paragraphs>644</Paragraphs>
  <ScaleCrop>false</ScaleCrop>
  <HeadingPairs>
    <vt:vector size="2" baseType="variant">
      <vt:variant>
        <vt:lpstr>Title</vt:lpstr>
      </vt:variant>
      <vt:variant>
        <vt:i4>1</vt:i4>
      </vt:variant>
    </vt:vector>
  </HeadingPairs>
  <TitlesOfParts>
    <vt:vector size="1" baseType="lpstr">
      <vt:lpstr>Title of the RDP</vt:lpstr>
    </vt:vector>
  </TitlesOfParts>
  <Company>Member State Name</Company>
  <LinksUpToDate>false</LinksUpToDate>
  <CharactersWithSpaces>322480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the RDP</dc:title>
  <dc:creator>Member State Authority</dc:creator>
  <cp:keywords>EL4</cp:keywords>
  <cp:lastModifiedBy>Snezhana Grigorova</cp:lastModifiedBy>
  <cp:revision>2</cp:revision>
  <cp:lastPrinted>2013-05-31T11:39:00Z</cp:lastPrinted>
  <dcterms:created xsi:type="dcterms:W3CDTF">2019-06-06T14:29:00Z</dcterms:created>
  <dcterms:modified xsi:type="dcterms:W3CDTF">2019-06-06T14:29:00Z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
  </property>
  <property fmtid="{D5CDD505-2E9C-101B-9397-08002B2CF9AE}" pid="3" name="Contributor">
    <vt:lpwstr/>
  </property>
  <property fmtid="{D5CDD505-2E9C-101B-9397-08002B2CF9AE}" pid="4" name="Created using">
    <vt:lpwstr>EL 4.6 Build 21000</vt:lpwstr>
  </property>
  <property fmtid="{D5CDD505-2E9C-101B-9397-08002B2CF9AE}" pid="5" name="Creator">
    <vt:lpwstr/>
  </property>
  <property fmtid="{D5CDD505-2E9C-101B-9397-08002B2CF9AE}" pid="6" name="DateAlarm">
    <vt:lpwstr/>
  </property>
  <property fmtid="{D5CDD505-2E9C-101B-9397-08002B2CF9AE}" pid="7" name="DatePublication">
    <vt:lpwstr/>
  </property>
  <property fmtid="{D5CDD505-2E9C-101B-9397-08002B2CF9AE}" pid="8" name="Description">
    <vt:lpwstr/>
  </property>
  <property fmtid="{D5CDD505-2E9C-101B-9397-08002B2CF9AE}" pid="9" name="DocID_EU">
    <vt:lpwstr> </vt:lpwstr>
  </property>
  <property fmtid="{D5CDD505-2E9C-101B-9397-08002B2CF9AE}" pid="10" name="ELDocType">
    <vt:lpwstr>rep.dot</vt:lpwstr>
  </property>
  <property fmtid="{D5CDD505-2E9C-101B-9397-08002B2CF9AE}" pid="11" name="EL_Author">
    <vt:lpwstr>Vallet Marc (Everis)</vt:lpwstr>
  </property>
  <property fmtid="{D5CDD505-2E9C-101B-9397-08002B2CF9AE}" pid="12" name="EL_Language">
    <vt:lpwstr>EN</vt:lpwstr>
  </property>
  <property fmtid="{D5CDD505-2E9C-101B-9397-08002B2CF9AE}" pid="13" name="EurolookVersion">
    <vt:lpwstr>4.5</vt:lpwstr>
  </property>
  <property fmtid="{D5CDD505-2E9C-101B-9397-08002B2CF9AE}" pid="14" name="Formatting">
    <vt:lpwstr>4.1</vt:lpwstr>
  </property>
  <property fmtid="{D5CDD505-2E9C-101B-9397-08002B2CF9AE}" pid="15" name="Language">
    <vt:lpwstr>EN</vt:lpwstr>
  </property>
  <property fmtid="{D5CDD505-2E9C-101B-9397-08002B2CF9AE}" pid="16" name="Last edited using">
    <vt:lpwstr>EL 4.6 Build 34000</vt:lpwstr>
  </property>
  <property fmtid="{D5CDD505-2E9C-101B-9397-08002B2CF9AE}" pid="17" name="Publisher">
    <vt:lpwstr/>
  </property>
  <property fmtid="{D5CDD505-2E9C-101B-9397-08002B2CF9AE}" pid="18" name="Reference">
    <vt:lpwstr/>
  </property>
  <property fmtid="{D5CDD505-2E9C-101B-9397-08002B2CF9AE}" pid="19" name="Rights">
    <vt:lpwstr/>
  </property>
  <property fmtid="{D5CDD505-2E9C-101B-9397-08002B2CF9AE}" pid="20" name="TemplateVersion">
    <vt:lpwstr>4.5.0.2</vt:lpwstr>
  </property>
  <property fmtid="{D5CDD505-2E9C-101B-9397-08002B2CF9AE}" pid="21" name="Type">
    <vt:lpwstr>Eurolook Report</vt:lpwstr>
  </property>
</Properties>
</file>